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BSIG 2025 — Vorgaben des Bundesamtes</w:t>
      </w:r>
    </w:p>
    <w:p>
      <w:r>
        <w:rPr>
          <w:color w:val="555555"/>
          <w:sz w:val="18"/>
        </w:rPr>
        <w:t xml:space="preserve">BSI-Gesetz</w:t>
      </w:r>
    </w:p>
    <w:p>
      <w:r>
        <w:rPr>
          <w:color w:val="555555"/>
          <w:sz w:val="18"/>
        </w:rPr>
        <w:t xml:space="preserve">Stand: 07.12.2025 (konsolidierte Textfassung, kein amtliches Inkrafttretensdatum)</w:t>
      </w:r>
    </w:p>
    <w:p>
      <w:r>
        <w:t xml:space="preserve">(1) Die Einrichtungen der Bundesverwaltung müssen Mindestanforderungen zum Schutz der in der Bundesverwaltung verarbeiteten Informationen erfüllen. Die Mindestanforderungen ergeben sich aus den BSI-Standards und dem Grundschutzkompendium (IT-Grundschutz) sowie aus den Mindeststandards für die Sicherheit in der Informationstechnik des Bundes (Mindeststandards) in den jeweils geltenden Fassungen. Die jeweils geltenden Fassungen werden auf der Internetseite des Bundesamtes veröffentlicht. Die Mindeststandards legt das Bundesamt im Benehmen mit den Ressorts und weiteren obersten Bundesbehörden fest. Der IT-Grundschutz und die Mindeststandards werden durch das Bundesamt regelmäßig evaluiert und entsprechend dem Stand der Technik sowie unter Berücksichtigung der Erfahrungen aus der Praxis und aus der Beratung und Unterstützung nach Absatz 3 fortentwickelt; dabei wird der Umsetzungsaufwand soweit möglich minimiert. Das Bundesamt wird den IT-Grundschutz bis zum 1. Januar 2026 modernisieren und fortentwickeln. Für die Verpflichtung nach Satz 1 gelten die Ausnahmen nach § 7 Absatz 6 und 7 entsprechend.</w:t>
      </w:r>
    </w:p>
    <w:p>
      <w:r>
        <w:t xml:space="preserve">(2) Durch die Umsetzung der Mindestanforderungen nach Absatz 1 Satz 1 ist die Erfüllung der Vorgaben nach § 30 gewährleistet, soweit nicht die Europäische Kommission einen Durchführungsrechtsakt gemäß Artikel 21 Absatz 5 Unterabsatz 2 der NIS-2-Richtlinie erlässt, in dem die technischen und methodischen Anforderungen über die Mindestanforderungen aus Absatz 1 Satz 1 hinausgehen. Falls eine Einrichtung des Bundes gleichzeitig ein Betreiber kritischer Anlagen ist und die Anforderungen des IT-Grundschutzes und der Mindeststandards den Anforderungen nach § 30 Absatz 9 und § 31 widersprechen, genießen Letztere Vorrang.</w:t>
      </w:r>
    </w:p>
    <w:p>
      <w:r>
        <w:t xml:space="preserve">(3) Das Bundesamt berät die Einrichtungen der Bundesverwaltung auf Ersuchen bei der Umsetzung und Einhaltung der Mindestanforderungen nach Absatz 1 Satz 1, stellt Hilfsmittel zur Verfügung und unterstützt die Bereitstellung entsprechender Lösungen durch die IT-Dienstleister des Bundes über den gesamten Lebenszyklus.</w:t>
      </w:r>
    </w:p>
    <w:p>
      <w:r>
        <w:t xml:space="preserve">(4) Das Bundesamt stellt im Rahmen seiner Aufgaben nach § 3 Absatz 1 Satz 2 Nummer 10 technische Richtlinien und Referenzarchitekturen bereit, die von den Einrichtungen der Bundesverwaltung als Rahmen für die Entwicklung sachgerechter Anforderungen an Auftragnehmer – im Sinne einer Eignung – und IT-Produkte – im Sinne einer Spezifikation – für die Durchführung von Vergabeverfahren berücksichtigt werden. Die Vorschriften des Vergaberechts und des Geheimschutzes bleiben unberührt.</w:t>
      </w:r>
    </w:p>
    <w:p>
      <w:r>
        <w:t xml:space="preserve">(5) Für die Einrichtungen der Bundesverwaltung kann das Bundesministerium des Innern im Einvernehmen mit den anderen Ressorts festlegen, dass sie verpflichtet sind, nach § 19 bereitgestellte IT-Sicherheitsprodukte beim Bundesamt abzurufen. Eigenbeschaffungen der Einrichtungen der Bundesverwaltung sind in diesem Fall nur zulässig, wenn das spezifische Anforderungsprofil den Einsatz abweichender Produkte erfordert. Dies gilt nicht für die in § 2 Nummer 21 genannten Gerichte und Verfassungsorgane sowie die Auslandsinformations- und -kommunikationstechnik gemäß § 7 Absatz 6.</w:t>
      </w:r>
    </w:p>
    <w:p>
      <w:r>
        <w:rPr>
          <w:color w:val="555555"/>
          <w:sz w:val="17"/>
        </w:rPr>
        <w:t xml:space="preserve">Zitiervorschlag: § 44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