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BSIG 2025 — Informationssicherheitsmanagement</w:t>
      </w:r>
    </w:p>
    <w:p>
      <w:r>
        <w:rPr>
          <w:color w:val="555555"/>
          <w:sz w:val="18"/>
        </w:rPr>
        <w:t xml:space="preserve">BSI-Gesetz</w:t>
      </w:r>
    </w:p>
    <w:p>
      <w:r>
        <w:rPr>
          <w:color w:val="555555"/>
          <w:sz w:val="18"/>
        </w:rPr>
        <w:t xml:space="preserve">Stand: 07.12.2025 (konsolidierte Textfassung, kein amtliches Inkrafttretensdatum)</w:t>
      </w:r>
    </w:p>
    <w:p>
      <w:r>
        <w:t xml:space="preserve">(1) Die Leitung der Einrichtung der Bundesverwaltung ist dafür verantwortlich, unter Berücksichtigung der Belange des IT-Betriebs die Voraussetzungen zur Gewährleistung der Informationssicherheit zu schaffen. Die Einrichtungen der Bundesverwaltung weisen dem Bundesamt die Erfüllung der Anforderungen nach Satz 1 spätestens fünf Jahre nach Inkrafttreten dieses Gesetzes und anschließend regelmäßig nach seinen Vorgaben nach.</w:t>
      </w:r>
    </w:p>
    <w:p>
      <w:r>
        <w:t xml:space="preserve">(2) Die Leitung der Einrichtung der Bundesverwaltung muss regelmäßig an Schulungen teilnehmen, um ausreichende Kenntnisse und Fähigkeiten zur Erkennung und Bewertung von Risiken und von Risikomanagementpraktiken im Bereich der Informationssicherheit zu erlangen sowie die Auswirkungen von Risiken sowie Risikomanagementpraktiken auf die von der Einrichtung erbrachten Dienste beurteilen zu können.</w:t>
      </w:r>
    </w:p>
    <w:p>
      <w:r>
        <w:t xml:space="preserve">(3) Soweit öffentlich-rechtlich oder privatrechtlich organisierte Stellen mit Leistungen für Informationstechnik des Bundes beauftragt werden, ist vertraglich sicherzustellen, dass sie sich zur Einhaltung der Voraussetzungen zur Gewährleistung der Informationssicherheit verpflichten. Dies gilt auch für den Fall, dass Schnittstellen zur Kommunikationstechnik des Bundes eingerichtet werden. Die Pflichten der Leitung der Einrichtung der Bundesverwaltung nach Absatz 1 bleiben hiervon unberührt.</w:t>
      </w:r>
    </w:p>
    <w:p>
      <w:r>
        <w:t xml:space="preserve">(4) Die Registrierung von Einrichtungen der Bundesverwaltung nach § 33 obliegt der Leitung der Einrichtung der Bundesverwaltung.</w:t>
      </w:r>
    </w:p>
    <w:p>
      <w:r>
        <w:t xml:space="preserve">(5) Werden, über die sich aus § 32 ergebenden Meldepflichten hinaus, Einrichtungen der Bundesverwaltung Informationen nach § 4 Absatz 2 Nummer 1 bekannt, die für die Erfüllung von Aufgaben oder für die Sicherheit der Kommunikationstechnik des Bundes von Bedeutung sind, unterrichten die Einrichtungen der Bundesverwaltung das Bundesamt hierüber unverzüglich, soweit andere Vorschriften dem nicht entgegenstehen. Ausgenommen von den Meldepflichten für Einrichtungen der Bundesverwaltung nach § 32 sowie nach Satz 1 dieses Absatzes sind Informationen, die aufgrund von Regelungen zum Geheimschutz oder Vereinbarungen mit Dritten nicht weitergegeben werden dürfen oder deren Weitergabe im Widerspruch zu der verfassungsrechtlichen Stellung eines Abgeordneten des Bundestages oder eines Verfassungsorgans oder der gesetzlich geregelten Unabhängigkeit einzelner Stellen stünde. Die Einrichtungen der Bundesverwaltung melden dem Bundesamt kalenderjährlich jeweils bis zum 31. Januar eines Jahres die Gesamtzahl der nach Satz 2 nicht übermittelten Informationen. Ausgenommen von der Pflicht nach Satz 3 sind der Bundesnachrichtendienst und das Bundesamt für Verfassungsschutz.</w:t>
      </w:r>
    </w:p>
    <w:p>
      <w:r>
        <w:t xml:space="preserve">(6) Das Bundesministerium des Innern erlässt im Einvernehmen mit den Ressorts allgemeine Verwaltungsvorschriften zur Durchführung des Absatzes 5.</w:t>
      </w:r>
    </w:p>
    <w:p>
      <w:r>
        <w:rPr>
          <w:color w:val="555555"/>
          <w:sz w:val="17"/>
        </w:rPr>
        <w:t xml:space="preserve">Zitiervorschlag: § 43 BSIG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https://recht.nulegal.eu/gesetze/BSIG%202025/43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