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42 BSIG 2025 — Auskunftsverlangen</w:t>
      </w:r>
    </w:p>
    <w:p>
      <w:r>
        <w:rPr>
          <w:color w:val="555555"/>
          <w:sz w:val="18"/>
        </w:rPr>
        <w:t xml:space="preserve">BSI-Gesetz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Zugang zu den Informationen und Akten in Angelegenheiten nach Teil 2 §§ 4 bis 10 und Teil 3 dieses Gesetzes wird nicht gewährt. Die Akteneinsichtsrechte von Verfahrensbeteiligten bleiben unberührt.</w:t>
      </w:r>
    </w:p>
    <w:p>
      <w:r>
        <w:rPr>
          <w:color w:val="555555"/>
          <w:sz w:val="17"/>
        </w:rPr>
        <w:t xml:space="preserve">Zitiervorschlag: § 42 BSIG 2025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https://recht.nulegal.eu/gesetze/BSIG%202025/42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