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BSIG 2025 — Nationale Verbindungsstelle sowie zentrale Melde- und Anlaufstelle für besonders wichtige und wichtige Einrichtungen</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ist die nationale Verbindungsstelle sowie die zentrale Melde- und Anlaufstelle für die Aufsicht für besonders wichtige Einrichtungen und wichtige Einrichtungen in der Sicherheit in der Informationstechnik.</w:t>
      </w:r>
    </w:p>
    <w:p>
      <w:r>
        <w:t xml:space="preserve">(2) Zur Wahrnehmung seiner Aufgabe als nationale Verbindungsstelle koordiniert das Bundesamt</w:t>
      </w:r>
    </w:p>
    <w:p>
      <w:pPr>
        <w:ind w:left="420"/>
      </w:pPr>
      <w:r>
        <w:t xml:space="preserve">1. die grenzüberschreitende Zusammenarbeit der Länderbehörden, die die Länder als zuständige Behörden für die Aufsicht von Einrichtungen der öffentlichen Verwaltung auf regionaler Ebene nach Artikel 2 Absatz 2 Buchstabe f Ziffer ii der NIS-2-Richtlinie bestimmt haben, sowie der Bundesnetzagentur und der Bundesanstalt für Finanzdienstleistungsaufsicht mit den für die Überwachung der Anwendung der NIS-2-Richtlinie zuständigen Behörden anderer Mitgliedstaaten und gegebenenfalls mit der Europäischen Kommission und der Agentur der Europäischen Union für Cybersicherheit sowie</w:t>
      </w:r>
    </w:p>
    <w:p>
      <w:pPr>
        <w:ind w:left="420"/>
      </w:pPr>
      <w:r>
        <w:t xml:space="preserve">2. die sektorübergreifende Zusammenarbeit der in Nummer 1 genannten Länderbehörden, des Bundesamtes für Bevölkerungsschutz und Katastrophenhilfe, der Bundesnetzagentur und der Bundesanstalt für Finanzdienstleistungsaufsicht.</w:t>
      </w:r>
    </w:p>
    <w:p>
      <w:r>
        <w:t xml:space="preserve">(3) Zur Wahrnehmung seiner Aufgabe als zentrale Meldestelle hat das Bundesamt</w:t>
      </w:r>
    </w:p>
    <w:p>
      <w:pPr>
        <w:ind w:left="420"/>
      </w:pPr>
      <w:r>
        <w:t xml:space="preserve">1. die für die Abwehr von Gefahren für die Sicherheit in der Informationstechnik wesentlichen Informationen zu sammeln und auszuwerten, insbesondere Informationen zu Schwachstellen, zu Schadprogrammen und zu Angriffen,</w:t>
      </w:r>
    </w:p>
    <w:p>
      <w:pPr>
        <w:ind w:left="420"/>
      </w:pPr>
      <w:r>
        <w:t xml:space="preserve">2. in Zusammenarbeit mit den zuständigen Aufsichtsbehörden und dem Bundesamt für Bevölkerungsschutz und Katastrophenhilfe die Relevanz der Informationen nach Nummer 1 für die Verfügbarkeit kritischer Dienstleistungen zu analysieren,</w:t>
      </w:r>
    </w:p>
    <w:p>
      <w:pPr>
        <w:ind w:left="420"/>
      </w:pPr>
      <w:r>
        <w:t xml:space="preserve">3. das Lagebild bezüglich der Sicherheit in der Informationstechnik von kritischen Anlagen, besonders wichtigen Einrichtungen und wichtigen Einrichtungen kontinuierlich zu aktualisieren und</w:t>
      </w:r>
    </w:p>
    <w:p>
      <w:pPr>
        <w:ind w:left="420"/>
      </w:pPr>
      <w:r>
        <w:t xml:space="preserve">4. unverzüglich die nachfolgenden Personen oder Stellen zu unterrichten:</w:t>
      </w:r>
    </w:p>
    <w:p>
      <w:pPr>
        <w:ind w:left="780"/>
      </w:pPr>
      <w:r>
        <w:t xml:space="preserve">a) die Betreiber kritischer Anlagen über sie betreffende Informationen nach den Nummern 1 bis 3 nach § 33 Absatz 1 Nummer 2 und</w:t>
      </w:r>
    </w:p>
    <w:p>
      <w:pPr>
        <w:ind w:left="780"/>
      </w:pPr>
      <w:r>
        <w:t xml:space="preserve">b) die zuständigen Behörden eines anderen Mitgliedstaats der Europäischen Union über nach Absatz 5 oder nach vergleichbaren Regelungen gemeldete erhebliche Störungen, die Auswirkungen in diesem Mitgliedstaat haben, unter Berücksichtigung der Interessen nationaler Sicherheit und Verteidigung und</w:t>
      </w:r>
    </w:p>
    <w:p>
      <w:pPr>
        <w:ind w:left="780"/>
      </w:pPr>
      <w:r>
        <w:t xml:space="preserve">c) das Auswärtige Amt über nach § 32 Absatz 1 gemeldete erhebliche Sicherheitsvorfälle mit internationalem Bezug und</w:t>
      </w:r>
    </w:p>
    <w:p>
      <w:pPr>
        <w:ind w:left="780"/>
      </w:pPr>
      <w:r>
        <w:t xml:space="preserve">d) im Rahmen vorab zwischen dem Bundesamt und den Empfängern abgestimmter Prozesse zur Weitergabe und Wahrung der notwendigen Vertraulichkeit die zu diesem Zweck dem Bundesamt von den Ländern als zentrale Kontaktstellen benannten Behörden oder die zuständigen Behörden des Bundes über die zur Erfüllung ihrer Aufgaben erforderlichen Informationen.</w:t>
      </w:r>
    </w:p>
    <w:p>
      <w:r>
        <w:t xml:space="preserve">(4) Zur Wahrnehmung seiner Aufgabe als zentrale Anlaufstelle hat das Bundesamt</w:t>
      </w:r>
    </w:p>
    <w:p>
      <w:pPr>
        <w:ind w:left="420"/>
      </w:pPr>
      <w:r>
        <w:t xml:space="preserve">1. Anfragen der in Absatz 2 genannten Stellen anzunehmen und an die zuständigen in Absatz 2 genannten Stellen weiterzuleiten,</w:t>
      </w:r>
    </w:p>
    <w:p>
      <w:pPr>
        <w:ind w:left="420"/>
      </w:pPr>
      <w:r>
        <w:t xml:space="preserve">2. Antworten auf die in Absatz 2 Satz 1 Nummer 2 genannten Anfragen zu erstellen und dabei die in Absatz 1 genannten Stellen zu beteiligen oder Antworten der in Absatz 2 Satz 1 genannten Stellen an die in Absatz 2 Satz 1 genannten Stellen weiterzuleiten, nach § 32 eingegangene Meldungen an zentrale Anlaufstellen der anderen betroffenen Mitgliedstaaten der Europäischen Union weiterzuleiten,</w:t>
      </w:r>
    </w:p>
    <w:p>
      <w:pPr>
        <w:ind w:left="420"/>
      </w:pPr>
      <w:r>
        <w:t xml:space="preserve">3. wenn ein erheblicher Sicherheitsvorfall zwei oder mehr Mitgliedstaaten der Europäischen Union betrifft, die anderen betroffenen Mitgliedstaaten und die Agentur der Europäischen Union für Cybersicherheit über den erheblichen Sicherheitsvorfall zu unterrichten, wobei die Art der gemäß § 32 Absatz 2 erhaltenen Informationen mitzuteilen und das wirtschaftliche Interesse der Einrichtung sowie die Vertraulichkeit der bereitgestellten Informationen zu wahren ist.</w:t>
      </w:r>
    </w:p>
    <w:p>
      <w:r>
        <w:t xml:space="preserve">(5) Während eines erheblichen Sicherheitsvorfalls gemäß § 32 Absatz 1 kann das Bundesamt im Einvernehmen mit der jeweils zuständigen Aufsichtsbehörde des Bundes von den betroffenen Betreibern kritischer Anlagen die Herausgabe der zur Bewältigung der Störung notwendigen Informationen einschließlich personenbezogener Daten verlangen. Betreiber kritischer Anlagen sind befugt, dem Bundesamt auf Verlangen die zur Bewältigung der Störung notwendigen Informationen einschließlich personenbezogener Daten zu übermitteln, soweit dies zur Bewältigung eines erheblichen Sicherheitsvorfalls erforderlich ist.</w:t>
      </w:r>
    </w:p>
    <w:p>
      <w:r>
        <w:t xml:space="preserve">(6) Soweit im Rahmen dieser Vorschrift personenbezogene Daten verarbeitet werden, ist eine über die vorstehenden Absätze hinausgehende Verarbeitung zu anderen Zwecken unzulässig. § 8 Absatz 8 Satz 3 bis 9 ist entsprechend anzuwenden.</w:t>
      </w:r>
    </w:p>
    <w:p>
      <w:r>
        <w:rPr>
          <w:color w:val="555555"/>
          <w:sz w:val="17"/>
        </w:rPr>
        <w:t xml:space="preserve">Zitiervorschlag: § 40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