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BSIG 2025 — Nachweispflichten für Betreiber kritischer Anlagen</w:t>
      </w:r>
    </w:p>
    <w:p>
      <w:r>
        <w:rPr>
          <w:color w:val="555555"/>
          <w:sz w:val="18"/>
        </w:rPr>
        <w:t xml:space="preserve">BSI-Gesetz</w:t>
      </w:r>
    </w:p>
    <w:p>
      <w:r>
        <w:rPr>
          <w:color w:val="555555"/>
          <w:sz w:val="18"/>
        </w:rPr>
        <w:t xml:space="preserve">Stand: 17.03.2026 (konsolidierte Textfassung, kein amtliches Inkrafttretensdatum)</w:t>
      </w:r>
    </w:p>
    <w:p>
      <w:r>
        <w:t xml:space="preserve">(1) Betreiber kritischer Anlagen haben die Umsetzung der Maßnahmen in Bezug auf kritische Anlagen nach § 30 Absatz 1 Satz 1 in Verbindung mit § 31 Absatz 1 und 2 Satz 1 zu einem vom Bundesamt im Benehmen mit dem Bundesamt für Bevölkerungsschutz und Katastrophenhilfe festgelegten Zeitpunkt, frühestens drei Jahre nachdem sie erstmals oder spätestens drei Jahre nachdem sie erneut als ein Betreiber einer kritischen Anlage gelten, und anschließend alle drei Jahre dem Bundesamt durch Sicherheitsaudits, Prüfungen oder Zertifizierungen nachzuweisen. Die Betreiber übermitteln dem Bundesamt die Ergebnisse der durchgeführten Audits, Prüfungen oder Zertifizierungen einschließlich Angaben über die dabei aufgedeckten Sicherheitsmängel. Das Bundesamt kann die Vorlage der Dokumentation, die der Überprüfung zugrunde gelegt wurde, verlangen. Es kann bei Sicherheitsmängeln die Vorlage eines geeigneten Mängelbeseitigungsplanes und im Einvernehmen mit der zuständigen Aufsichtsbehörde des Bundes oder im Benehmen mit der sonst zuständigen Aufsichtsbehörde die Beseitigung der Sicherheitsmängel verlangen. Das Bundesamt kann die Vorlage eines geeigneten Nachweises über die erfolgte Mängelbeseitigung verlangen.</w:t>
      </w:r>
    </w:p>
    <w:p>
      <w:r>
        <w:t xml:space="preserve">(2) Das Bundesamt kann zur Ausgestaltung des Verfahrens der Prüfungen und Erbringung der Nachweise nach Absatz 1 folgende Anforderungen festlegen:</w:t>
      </w:r>
    </w:p>
    <w:p>
      <w:pPr>
        <w:ind w:left="420"/>
      </w:pPr>
      <w:r>
        <w:t xml:space="preserve">1. Anforderungen an die Art und Weise der Durchführung,</w:t>
      </w:r>
    </w:p>
    <w:p>
      <w:pPr>
        <w:ind w:left="420"/>
      </w:pPr>
      <w:r>
        <w:t xml:space="preserve">2. Anforderungen an die Geeignetheit der zu erbringenden Nachweise sowie</w:t>
      </w:r>
    </w:p>
    <w:p>
      <w:pPr>
        <w:ind w:left="420"/>
      </w:pPr>
      <w:r>
        <w:t xml:space="preserve">3. nach Anhörung der betroffenen Betreiber und Einrichtungen und der betroffenen Wirtschaftsverbände fachliche und organisatorische Anforderungen an die prüfenden Stellen im Einvernehmen mit dem Bundesamt für Bevölkerungsschutz und Katastrophenhilfe.</w:t>
      </w:r>
    </w:p>
    <w:p>
      <w:r>
        <w:t xml:space="preserve">Die Festlegung nach Satz 1 erfolgt durch eine öffentliche Mitteilung auf der Internetseite des Bundesamtes.</w:t>
      </w:r>
    </w:p>
    <w:p>
      <w:r>
        <w:t xml:space="preserve">(3) Abweichend von Absatz 1 Satz 1 legt das Bundesamt für Betreiber kritischer Anlagen, die bis zum Inkrafttreten dieses Gesetzes Betreiber Kritischer Infrastrukturen waren nach § 2 Absatz 10 des BSI-Gesetzes vom 14. August 2009 (BGBl. I S. 2821), das zuletzt durch Artikel 12 des Gesetzes vom 23. Juni 2021 (BGBl. I S. 1982) geändert worden ist, den Zeitpunkt der Nachweiserbringung auf frühestens drei Jahre nach Erbringung des letzten Nachweises nach § 8a Absatz 3 des BSI-Gesetzes vom 14. August 2009 (BGBl. I S. 2821), das zuletzt durch Artikel 12 des Gesetzes vom 23. Juni 2021 (BGBl. I S. 1982) geändert worden ist, fest. Betreiber kritischer Anlagen, die bis zum Inkrafttreten dieses Gesetzes Betreiber Kritischer Infrastrukturen waren, und deren Nachweisfrist nach § 8a Absatz 3 des BSI-Gesetzes vom 14. August 2009 (BGBl. I S. 2821), das zuletzt durch Artikel 12 des Gesetzes vom 23. Juni 2021 (BGBl. I S. 1982) geändert worden ist, innerhalb von zwölf Monaten nach Inkrafttreten dieses Gesetzes abgelaufen wäre, können in diesem Zeitraum einen Nachweis nach den bisher geltenden Vorgaben erbringen.</w:t>
      </w:r>
    </w:p>
    <w:p>
      <w:r>
        <w:t xml:space="preserve">(4) Die Verpflichtung nach Absatz 1 Satz 1 gilt nicht für Betreiber kritischer Anlagen, die auf Grundlage von § 5 Absatz 7 des KRITIS-Dachgesetzes als solche bestimmt wurden.</w:t>
      </w:r>
    </w:p>
    <w:p>
      <w:r>
        <w:rPr>
          <w:color w:val="555555"/>
          <w:sz w:val="17"/>
        </w:rPr>
        <w:t xml:space="preserve">Zitiervorschlag: § 39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