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34 BSIG 2025 — Besondere Registrierungspflicht für bestimmte Einrichtungsarten</w:t>
      </w:r>
    </w:p>
    <w:p>
      <w:r>
        <w:rPr>
          <w:color w:val="555555"/>
          <w:sz w:val="18"/>
        </w:rPr>
        <w:t xml:space="preserve">BSI-Gesetz</w:t>
      </w:r>
    </w:p>
    <w:p>
      <w:r>
        <w:rPr>
          <w:color w:val="555555"/>
          <w:sz w:val="18"/>
        </w:rPr>
        <w:t xml:space="preserve">Stand: 07.12.2025 (konsolidierte Textfassung, kein amtliches Inkrafttretensdatum)</w:t>
      </w:r>
    </w:p>
    <w:p>
      <w:r>
        <w:t xml:space="preserve">(1) Eine Einrichtung der in § 60 Absatz 1 Satz 1 genannten Einrichtungsart ist verpflichtet, spätestens drei Monate, nachdem sie als eine der vorgenannten Einrichtungen gelten, dem Bundesamt die folgenden Angaben zu übermitteln:</w:t>
      </w:r>
    </w:p>
    <w:p>
      <w:pPr>
        <w:ind w:left="420"/>
      </w:pPr>
      <w:r>
        <w:t xml:space="preserve">1. Name der Einrichtung;</w:t>
      </w:r>
    </w:p>
    <w:p>
      <w:pPr>
        <w:ind w:left="420"/>
      </w:pPr>
      <w:r>
        <w:t xml:space="preserve">2. einschlägiger Sektor, Branche und Einrichtungsart wie in Anlage 1 bestimmt;</w:t>
      </w:r>
    </w:p>
    <w:p>
      <w:pPr>
        <w:ind w:left="420"/>
      </w:pPr>
      <w:r>
        <w:t xml:space="preserve">3. Anschrift der Hauptniederlassung in der Europäischen Union nach § 60 Absatz 2 und ihrer sonstigen Niederlassungen in der Europäischen Union oder, falls sie nicht in der Europäischen Union niedergelassen ist, Anschrift ihres nach § 60 Absatz 3 benannten Vertreters;</w:t>
      </w:r>
    </w:p>
    <w:p>
      <w:pPr>
        <w:ind w:left="420"/>
      </w:pPr>
      <w:r>
        <w:t xml:space="preserve">4. aktuelle Kontaktdaten, einschließlich E-Mail-Adressen und Telefonnummern der Einrichtung und soweit erforderlich, ihres nach § 60 Absatz 3 benannten Vertreters;</w:t>
      </w:r>
    </w:p>
    <w:p>
      <w:pPr>
        <w:ind w:left="420"/>
      </w:pPr>
      <w:r>
        <w:t xml:space="preserve">5. die Mitgliedstaaten der Europäischen Union, in denen die Einrichtung Dienste erbringt, und</w:t>
      </w:r>
    </w:p>
    <w:p>
      <w:pPr>
        <w:ind w:left="420"/>
      </w:pPr>
      <w:r>
        <w:t xml:space="preserve">6. die öffentlichen IP-Adressbereiche der Einrichtung.</w:t>
      </w:r>
    </w:p>
    <w:p>
      <w:r>
        <w:t xml:space="preserve">(2) Im Fall einer Änderung der gemäß Absatz 1 übermittelten Angaben unterrichten die Einrichtungen der in § 60 Absatz 1 Satz 1 genannten Einrichtungsart das Bundesamt unverzüglich über diese Änderung, jedoch spätestens innerhalb von drei Monaten ab dem Tag, an dem die Änderung eingetreten ist.</w:t>
      </w:r>
    </w:p>
    <w:p>
      <w:r>
        <w:t xml:space="preserve">(3) Mit Ausnahme der in Absatz 1 Nummer 6 genannten Angaben leitet das Bundesamt die nach diesem Paragraphen übermittelten Angaben an die Agentur der Europäischen Union für Cybersicherheit weiter.</w:t>
      </w:r>
    </w:p>
    <w:p>
      <w:r>
        <w:t xml:space="preserve">(4) Das Bundesamt kann für die Übermittlung der Angaben nach den Absätzen 1 und 2 einen geeigneten Meldeweg vorsehen.</w:t>
      </w:r>
    </w:p>
    <w:p>
      <w:r>
        <w:rPr>
          <w:color w:val="555555"/>
          <w:sz w:val="17"/>
        </w:rPr>
        <w:t xml:space="preserve">Zitiervorschlag: § 34 BSIG 2025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https://recht.nulegal.eu/gesetze/BSIG%202025/34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