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BSIG 2025 — Registrierungspflicht</w:t>
      </w:r>
    </w:p>
    <w:p>
      <w:r>
        <w:rPr>
          <w:color w:val="555555"/>
          <w:sz w:val="18"/>
        </w:rPr>
        <w:t xml:space="preserve">BSI-Gesetz</w:t>
      </w:r>
    </w:p>
    <w:p>
      <w:r>
        <w:rPr>
          <w:color w:val="555555"/>
          <w:sz w:val="18"/>
        </w:rPr>
        <w:t xml:space="preserve">Stand: 29.07.2026 (konsolidierte Textfassung, kein amtliches Inkrafttretensdatum)</w:t>
      </w:r>
    </w:p>
    <w:p>
      <w:r>
        <w:t xml:space="preserve">(1) Besonders wichtige Einrichtungen und wichtige Einrichtungen sowie Domain-Name-Registry-Dienstleister sind verpflichtet, spätestens drei Monate, nachdem sie erstmals oder erneut als eine der vorgenannten Einrichtungen gelten oder Domain-Name-Registry-Dienste anbieten, dem Bundesamt über eine gemeinsam vom Bundesamt und dem Bundesamt für Bevölkerungsschutz und Katastrophenhilfe eingerichtete Registrierungsmöglichkeit folgende Angaben zu übermitteln:</w:t>
      </w:r>
    </w:p>
    <w:p>
      <w:pPr>
        <w:ind w:left="420"/>
      </w:pPr>
      <w:r>
        <w:t xml:space="preserve">1. Name der Einrichtung, einschließlich der Rechtsform und falls einschlägig der Handelsregisternummer,</w:t>
      </w:r>
    </w:p>
    <w:p>
      <w:pPr>
        <w:ind w:left="420"/>
      </w:pPr>
      <w:r>
        <w:t xml:space="preserve">2. Anschrift und aktuelle Kontaktdaten, einschließlich E-Mail-Adresse, öffentliche IP-Adressbereiche und Telefonnummern,</w:t>
      </w:r>
    </w:p>
    <w:p>
      <w:pPr>
        <w:ind w:left="420"/>
      </w:pPr>
      <w:r>
        <w:t xml:space="preserve">3. relevanter in Anlage 1 oder 2 genannter Sektor oder falls einschlägig Branche,</w:t>
      </w:r>
    </w:p>
    <w:p>
      <w:pPr>
        <w:ind w:left="420"/>
      </w:pPr>
      <w:r>
        <w:t xml:space="preserve">4. Auflistung derjenigen Mitgliedstaaten der Europäischen Union, in denen die Einrichtung Dienste der in Anlage 1 oder 2 genannten Einrichtungsarten erbringt, und</w:t>
      </w:r>
    </w:p>
    <w:p>
      <w:pPr>
        <w:ind w:left="420"/>
      </w:pPr>
      <w:r>
        <w:t xml:space="preserve">5. die für die Tätigkeiten, aufgrund derer die Registrierung erfolgt, zuständigen Aufsichtsbehörden des Bundes und der Länder.</w:t>
      </w:r>
    </w:p>
    <w:p>
      <w:r>
        <w:t xml:space="preserve">(2) Die Registrierung von kritischen Anlagen erfolgt gemäß § 8 des KRITIS-Dachgesetzes.</w:t>
      </w:r>
    </w:p>
    <w:p>
      <w:r>
        <w:t xml:space="preserve">(3) Die Registrierung von besonders wichtigen Einrichtungen und wichtigen Einrichtungen und Domain-Name-Registry-Diensteanbietern kann das Bundesamt im Einvernehmen mit den jeweils zuständigen Aufsichtsbehörden auch selbst vornehmen, wenn ihre Pflicht zur Registrierung nicht erfüllt wird.</w:t>
      </w:r>
    </w:p>
    <w:p>
      <w:r>
        <w:t xml:space="preserve">(4) Rechtfertigen Tatsachen die Annahme, dass eine Einrichtung ihre Pflicht zur Registrierung nach Absatz 1 oder 2 nicht erfüllt, so hat diese Einrichtung dem Bundesamt auf Verlangen die aus Sicht des Bundesamtes für die Bewertung erforderlichen Aufzeichnungen, Schriftstücke und sonstigen Unterlagen in geeigneter Weise vorzulegen und Auskunft zu erteilen, soweit nicht Geheimschutzinteressen oder überwiegende Sicherheitsinteressen entgegenstehen.</w:t>
      </w:r>
    </w:p>
    <w:p>
      <w:r>
        <w:t xml:space="preserve">(5) Wenn sich nach Absatz 1 zu übermittelnde Angaben ändern, sind diese Änderungen dem Bundesamt unverzüglich, spätestens jedoch binnen zwei Wochen ab dem Zeitpunkt, zu dem die Einrichtung Kenntnis von der Änderung erhalten hat, zu übermitteln.</w:t>
      </w:r>
    </w:p>
    <w:p>
      <w:r>
        <w:t xml:space="preserve">(6) Das Bundesamt legt die Einzelheiten zur Ausgestaltung des Registrierungsverfahrens im Einvernehmen mit dem Bundesamt für Bevölkerungsschutz und Katastrophenhilfe fest. Die Festlegung nach Satz 1 erfolgt durch eine öffentliche Mitteilung auf der Internetseite des Bundesamtes.</w:t>
      </w:r>
    </w:p>
    <w:p>
      <w:r>
        <w:rPr>
          <w:color w:val="555555"/>
          <w:sz w:val="17"/>
        </w:rPr>
        <w:t xml:space="preserve">Zitiervorschlag: § 33 BSIG 2025</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