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BSIG 2025 — Recht auf Einschränkung der Verarbeitung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Die Pflicht des Bundesamtes zur Einschränkung der Verarbeitung gemäß Artikel 18 Absatz 1 Buchstabe a der Verordnung (EU) 2016/679 besteht für die Dauer der Überprüfung der Richtigkeit der personenbezogenen Daten nicht, wenn</w:t>
      </w:r>
    </w:p>
    <w:p>
      <w:pPr>
        <w:ind w:left="420"/>
      </w:pPr>
      <w:r>
        <w:t xml:space="preserve">1. die Verarbeitung oder Weiterverarbeitung durch dieses Gesetz ausdrücklich geregelt ist oder</w:t>
      </w:r>
    </w:p>
    <w:p>
      <w:pPr>
        <w:ind w:left="420"/>
      </w:pPr>
      <w:r>
        <w:t xml:space="preserve">2. die Einschränkung der Verarbeitung die Abwehr von Gefahren für die Sicherheit in der Informationstechnik gefährden würde.</w:t>
      </w:r>
    </w:p>
    <w:p>
      <w:r>
        <w:rPr>
          <w:color w:val="555555"/>
          <w:sz w:val="17"/>
        </w:rPr>
        <w:t xml:space="preserve">Zitiervorschlag: § 26 BSIG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