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BSIG 2025 — Auskunftsrecht der betroffenen Person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(1) Das Recht auf Auskunft gemäß Artikel 15 Absatz 1 und 2 der Verordnung (EU) 2016/679 besteht nicht, wenn und soweit</w:t>
      </w:r>
    </w:p>
    <w:p>
      <w:pPr>
        <w:ind w:left="420"/>
      </w:pPr>
      <w:r>
        <w:t xml:space="preserve">1. die Auskunftserteilung die ordnungsgemäße Erfüllung der Aufgaben gefährden würde, die in der Zuständigkeit des Bundesamtes liegen,</w:t>
      </w:r>
    </w:p>
    <w:p>
      <w:pPr>
        <w:ind w:left="420"/>
      </w:pPr>
      <w:r>
        <w:t xml:space="preserve">2. die Auskunftserteilung</w:t>
      </w:r>
    </w:p>
    <w:p>
      <w:pPr>
        <w:ind w:left="780"/>
      </w:pPr>
      <w:r>
        <w:t xml:space="preserve">a) die öffentliche Sicherheit oder die Gewährleistung der Netz- und Informationssicherheit gefährden würde oder</w:t>
      </w:r>
    </w:p>
    <w:p>
      <w:pPr>
        <w:ind w:left="780"/>
      </w:pPr>
      <w:r>
        <w:t xml:space="preserve">b) sonst dem Wohl des Bundes oder eines Landes Nachteile bereiten würde oder</w:t>
      </w:r>
    </w:p>
    <w:p>
      <w:pPr>
        <w:ind w:left="420"/>
      </w:pPr>
      <w:r>
        <w:t xml:space="preserve">3. die Auskunftserteilung strafrechtliche Ermittlungen oder die Verfolgung von Straftaten gefährden würde</w:t>
      </w:r>
    </w:p>
    <w:p>
      <w:r>
        <w:t xml:space="preserve">und deswegen das Interesse der betroffenen Person an der Auskunftserteilung zurücktreten muss.</w:t>
      </w:r>
    </w:p>
    <w:p>
      <w:r>
        <w:t xml:space="preserve">(2) § 34 Absatz 2 bis 4 des Bundesdatenschutzgesetzes gilt entsprechend.</w:t>
      </w:r>
    </w:p>
    <w:p>
      <w:r>
        <w:rPr>
          <w:color w:val="555555"/>
          <w:sz w:val="17"/>
        </w:rPr>
        <w:t xml:space="preserve">Zitiervorschlag: § 23 BSIG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https://recht.nulegal.eu/gesetze/BSIG%202025/23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