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BSIG 2025 — Anordnungen von Maßnahmen des Bundesamtes gegenüber Anbietern von digitalen Diensten</w:t>
      </w:r>
    </w:p>
    <w:p>
      <w:r>
        <w:rPr>
          <w:color w:val="555555"/>
          <w:sz w:val="18"/>
        </w:rPr>
        <w:t xml:space="preserve">BSI-Gesetz</w:t>
      </w:r>
    </w:p>
    <w:p>
      <w:r>
        <w:rPr>
          <w:color w:val="555555"/>
          <w:sz w:val="18"/>
        </w:rPr>
        <w:t xml:space="preserve">Stand: 07.12.2025 (konsolidierte Textfassung, kein amtliches Inkrafttretensdatum)</w:t>
      </w:r>
    </w:p>
    <w:p>
      <w:r>
        <w:t xml:space="preserve">Das Bundesamt kann in Einzelfällen zur Abwehr erheblicher Gefahren für informationstechnische Systeme einer Vielzahl von Nutzern, die von digitalen Diensten von Anbietern von digitalen Diensten nach § 2 Absatz 2 Nummer 1 des Telekommunikation-Digitale-Dienste-Datenschutz-Gesetzes ausgehen, die durch ungenügende technische und organisatorische Vorkehrungen nach § 19 Absatz 4 des Telekommunikation-Digitale-Dienste-Datenschutz-Gesetzes unzureichend gesichert sind und dadurch keinen hinreichenden Schutz bieten vor</w:t>
      </w:r>
    </w:p>
    <w:p>
      <w:pPr>
        <w:ind w:left="420"/>
      </w:pPr>
      <w:r>
        <w:t xml:space="preserve">1. unerlaubten Zugriffen auf die für diese digitalen Dienste genutzten technischen Einrichtungen oder</w:t>
      </w:r>
    </w:p>
    <w:p>
      <w:pPr>
        <w:ind w:left="420"/>
      </w:pPr>
      <w:r>
        <w:t xml:space="preserve">2. Störungen, auch soweit sie durch äußere Angriffe bedingt sind,</w:t>
      </w:r>
    </w:p>
    <w:p>
      <w:r>
        <w:t xml:space="preserve">gegenüber dem jeweiligen Anbieter von digitalen Diensten nach § 2 Absatz 2 Nummer 1 des Telekommunikation-Digitale-Dienste-Datenschutz-Gesetzes anordnen, dass dieser die jeweils zur Herstellung des ordnungsgemäßen Zustands seiner digitalen Dienste erforderlichen technischen und organisatorischen Maßnahmen ergreift, um den ordnungsgemäßen Zustand seiner digitalen Dienste herzustellen. Die Zuständigkeit der Aufsichtsbehörden der Länder bleibt im Übrigen unberührt.</w:t>
      </w:r>
    </w:p>
    <w:p>
      <w:r>
        <w:rPr>
          <w:color w:val="555555"/>
          <w:sz w:val="17"/>
        </w:rPr>
        <w:t xml:space="preserve">Zitiervorschlag: § 17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