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BSIG 2025 — Untersuchung der Sicherheit in der Informationstechnik, Auskunftsverlangen</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kann zur Erfüllung seiner Aufgaben nach § 3 Absatz 1 Satz 2 Nummer 1, 20, 21, 24 oder 25 auf dem Markt bereitgestellte oder zur Bereitstellung auf dem Markt vorgesehene informationstechnische Produkte und Systeme untersuchen. Es kann sich hierbei der Unterstützung Dritter bedienen, soweit berechtigte Interessen des Herstellers der betroffenen Produkte und Systeme dem nicht entgegenstehen.</w:t>
      </w:r>
    </w:p>
    <w:p>
      <w:r>
        <w:t xml:space="preserve">(2) Soweit erforderlich, kann das Bundesamt für Untersuchungen nach Absatz 1 Satz 1 von Herstellern informationstechnischer Produkte und Systeme alle notwendigen Auskünfte, insbesondere auch zu technischen Details, verlangen. In dem Auskunftsverlangen gibt das Bundesamt die Rechtsgrundlage, den Zweck des Auskunftsverlangens und die benötigten Auskünfte an und legt eine angemessene Frist für die Übermittlung der Auskünfte fest. Das Auskunftsverlangen enthält ferner einen Hinweis auf die in § 65 vorgesehenen Sanktionen.</w:t>
      </w:r>
    </w:p>
    <w:p>
      <w:r>
        <w:t xml:space="preserve">(3) Das Bundesamt gibt Auskünfte sowie die aus den Untersuchungen gewonnen Erkenntnisse unverzüglich an die zuständigen Aufsichtsbehörden des Bundes oder, sofern keine Aufsichtsbehörde vorhanden ist, an das jeweilige Ressort weiter, wenn Anhaltspunkte bestehen, dass diese sie zur Erfüllung ihrer Aufgaben benötigen.</w:t>
      </w:r>
    </w:p>
    <w:p>
      <w:r>
        <w:t xml:space="preserve">(4) Die Auskünfte und die aus den Untersuchungen gewonnenen Erkenntnisse dürfen nur zur Erfüllung der Aufgaben nach § 3 Absatz 1 Satz 2 Nummer 1, 20, 21, 24 und 25 genutzt werden. Das Bundesamt darf seine Erkenntnisse weitergeben und veröffentlichen, soweit dies zur Erfüllung der Aufgaben nach § 3 Absatz 1 Satz 2 Nummer 1, 20, 21, 24 und 25 erforderlich ist. Zuvor ist dem Hersteller der betroffenen Produkte und Systeme mit angemessener Frist Gelegenheit zur Stellungnahme zu geben. Von einer Gelegenheit zur Stellungnahme kann abgesehen werden, wenn die Erkenntnisse ohne erkennbaren Bezug zum Hersteller oder zu den untersuchten informationstechnischen Produkten und Systemen weitergegeben oder veröffentlicht werden.</w:t>
      </w:r>
    </w:p>
    <w:p>
      <w:r>
        <w:t xml:space="preserve">(5) Kommt ein Hersteller der Aufforderung des Bundesamtes nach Absatz 2 Satz 1 nicht oder nur unzureichend nach, kann das Bundesamt hierüber die Öffentlichkeit informieren. Es kann hierbei den Namen des Herstellers sowie die Bezeichnung des betroffenen Produkts oder Systems angeben und darlegen, inwieweit der Hersteller seiner Auskunftspflicht nicht nachgekommen ist. Zuvor ist dem Hersteller mit angemessener Frist Gelegenheit zur Stellungnahme zu gewähren. § 13 Absatz 2 Satz 2 gilt entsprechend.</w:t>
      </w:r>
    </w:p>
    <w:p>
      <w:r>
        <w:rPr>
          <w:color w:val="555555"/>
          <w:sz w:val="17"/>
        </w:rPr>
        <w:t xml:space="preserve">Zitiervorschlag: § 14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