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BSIG 2025 — Warnungen</w:t>
      </w:r>
    </w:p>
    <w:p>
      <w:r>
        <w:rPr>
          <w:color w:val="555555"/>
          <w:sz w:val="18"/>
        </w:rPr>
        <w:t xml:space="preserve">BSI-Gesetz</w:t>
      </w:r>
    </w:p>
    <w:p>
      <w:r>
        <w:rPr>
          <w:color w:val="555555"/>
          <w:sz w:val="18"/>
        </w:rPr>
        <w:t xml:space="preserve">Stand: 07.12.2025 (konsolidierte Textfassung, kein amtliches Inkrafttretensdatum)</w:t>
      </w:r>
    </w:p>
    <w:p>
      <w:r>
        <w:t xml:space="preserve">(1) Zur Erfüllung seiner Aufgaben nach § 3 Absatz 1 Satz 2 Nummer 20 und 21 kann das Bundesamt</w:t>
      </w:r>
    </w:p>
    <w:p>
      <w:pPr>
        <w:ind w:left="420"/>
      </w:pPr>
      <w:r>
        <w:t xml:space="preserve">1. die folgenden Warnungen und Informationen an die Öffentlichkeit oder an die betroffenen Kreise richten:</w:t>
      </w:r>
    </w:p>
    <w:p>
      <w:pPr>
        <w:ind w:left="780"/>
      </w:pPr>
      <w:r>
        <w:t xml:space="preserve">a) Warnungen vor Schwachstellen und anderen Sicherheitsrisiken in informationstechnischen Produkten und Diensten,</w:t>
      </w:r>
    </w:p>
    <w:p>
      <w:pPr>
        <w:ind w:left="780"/>
      </w:pPr>
      <w:r>
        <w:t xml:space="preserve">b) Warnungen vor Schadprogrammen,</w:t>
      </w:r>
    </w:p>
    <w:p>
      <w:pPr>
        <w:ind w:left="780"/>
      </w:pPr>
      <w:r>
        <w:t xml:space="preserve">c) Warnungen bei einem Verlust oder einem unerlaubten Zugriff auf Daten,</w:t>
      </w:r>
    </w:p>
    <w:p>
      <w:pPr>
        <w:ind w:left="780"/>
      </w:pPr>
      <w:r>
        <w:t xml:space="preserve">d) Informationen über sicherheitsrelevante IT-Eigenschaften von Produkten und</w:t>
      </w:r>
    </w:p>
    <w:p>
      <w:pPr>
        <w:ind w:left="780"/>
      </w:pPr>
      <w:r>
        <w:t xml:space="preserve">e) Informationen über Verstöße besonders wichtiger Einrichtungen oder wichtiger Einrichtungen gegen die Pflichten aus diesem Gesetz sowie</w:t>
      </w:r>
    </w:p>
    <w:p>
      <w:pPr>
        <w:ind w:left="420"/>
      </w:pPr>
      <w:r>
        <w:t xml:space="preserve">2. Sicherheitsmaßnahmen und Einsatz bestimmter Sicherheitsprodukte empfehlen.</w:t>
      </w:r>
    </w:p>
    <w:p>
      <w:r>
        <w:t xml:space="preserve">Das Bundesamt kann zur Wahrnehmung der Aufgaben nach Satz 1 Dritte einbeziehen, wenn dies für eine wirksame und rechtzeitige Warnung erforderlich ist.</w:t>
      </w:r>
    </w:p>
    <w:p>
      <w:r>
        <w:t xml:space="preserve">(2) Die Hersteller betroffener Produkte sind rechtzeitig vor Veröffentlichung der Warnungen zu informieren. Diese Informationspflicht besteht nicht,</w:t>
      </w:r>
    </w:p>
    <w:p>
      <w:pPr>
        <w:ind w:left="420"/>
      </w:pPr>
      <w:r>
        <w:t xml:space="preserve">1. wenn hierdurch die Erreichung des mit der Maßnahme verfolgten Zwecks gefährdet würde oder</w:t>
      </w:r>
    </w:p>
    <w:p>
      <w:pPr>
        <w:ind w:left="420"/>
      </w:pPr>
      <w:r>
        <w:t xml:space="preserve">2. wenn berechtigterweise davon ausgegangen werden kann, dass der Hersteller an einer vorherigen Benachrichtigung kein Interesse hat.</w:t>
      </w:r>
    </w:p>
    <w:p>
      <w:r>
        <w:t xml:space="preserve">Soweit entdeckte Schwachstellen oder Schadprogramme nicht allgemein bekannt werden sollen, um eine Weiterverbreitung oder rechtswidrige Ausnutzung zu verhindern oder weil das Bundesamt gegenüber Dritten zur Vertraulichkeit verpflichtet ist, kann es den Kreis der zu warnenden Personen einschränken. Kriterien für die Auswahl des zu warnenden Personenkreises nach Satz 3 sind insbesondere die besondere Gefährdung bestimmter Einrichtungen oder die besondere Zuverlässigkeit des Empfängers.</w:t>
      </w:r>
    </w:p>
    <w:p>
      <w:r>
        <w:t xml:space="preserve">(3) Zur Erfüllung seiner Aufgaben nach § 3 Absatz 1 Satz 2 Nummer 20 und 21 kann das Bundesamt die Öffentlichkeit unter Nennung der Bezeichnung und des Herstellers des betroffenen Produkts und Dienstes</w:t>
      </w:r>
    </w:p>
    <w:p>
      <w:pPr>
        <w:ind w:left="420"/>
      </w:pPr>
      <w:r>
        <w:t xml:space="preserve">1. vor Schwachstellen in informationstechnischen Produkten und Diensten und vor Schadprogrammen warnen, wenn hinreichende Anhaltspunkte dafür vorliegen, dass Gefahren für die Sicherheit in der Informationstechnik hiervon ausgehen, oder</w:t>
      </w:r>
    </w:p>
    <w:p>
      <w:pPr>
        <w:ind w:left="420"/>
      </w:pPr>
      <w:r>
        <w:t xml:space="preserve">2. Sicherheitsmaßnahmen sowie den Einsatz bestimmter informationstechnischer Produkte und Dienste empfehlen.</w:t>
      </w:r>
    </w:p>
    <w:p>
      <w:r>
        <w:t xml:space="preserve">Stellen sich die an die Öffentlichkeit gegebenen Informationen im Nachhinein als falsch heraus oder stellen sich die zugrunde liegenden Umstände als unzutreffend wiedergegeben heraus, ist dies unverzüglich öffentlich bekannt zu machen. Warnungen nach Satz 1 sind sechs Monate nach der Veröffentlichung zu entfernen, wenn nicht weiterhin hinreichende Anhaltspunkte dafür vorliegen, dass Gefahren für die Sicherheit in der Informationstechnik bestehen. Wird eine Warnung nach Satz 3 nicht entfernt, so ist diese Entscheidung regelmäßig zu überprüfen.</w:t>
      </w:r>
    </w:p>
    <w:p>
      <w:r>
        <w:rPr>
          <w:color w:val="555555"/>
          <w:sz w:val="17"/>
        </w:rPr>
        <w:t xml:space="preserve">Zitiervorschlag: § 13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