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BSIG 2025 — Bestandsdatenauskunft</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darf zur Erfüllung seiner gesetzlichen Aufgabe nach § 3 Absatz 1 Satz 1 Nummer 1, 2, 20, 24 oder 25 von demjenigen, der geschäftsmäßig Telekommunikationsdienste erbringt oder daran mitwirkt, über Bestandsdaten gemäß § 3 Nummer 6 des Telekommunikationsgesetzes und über die nach § 172 des Telekommunikationsgesetzes erhobenen Daten (§ 174 Absatz 1 Satz 1 des Telekommunikationsgesetzes) Auskunft verlangen. Die Auskunft nach Satz 1 darf nur verlangt werden zum Schutz der Versorgung der Bevölkerung in den Sektoren des § 2 Nummer 24 oder der öffentlichen Sicherheit, um damit eine Beeinträchtigung der Sicherheit oder Funktionsfähigkeit informationstechnischer Systeme einer besonders wichtigen Einrichtung oder wichtigen Einrichtung abzuwenden, wenn Tatsachen den Schluss auf ein wenigstens seiner Art nach konkretisiertes und zeitlich absehbares Geschehen zulassen, das auf die informationstechnischen Systeme bestimmbarer Infrastrukturen oder Unternehmen abzielen wird, und wenn die in die Auskunft aufzunehmenden Daten im Einzelfall erforderlich sind, um die Betroffenen nach Absatz 4 vor dieser Beeinträchtigung zu warnen, über diese Beeinträchtigung zu informieren oder bei der Beseitigung zu beraten oder zu unterstützen.</w:t>
      </w:r>
    </w:p>
    <w:p>
      <w:r>
        <w:t xml:space="preserve">(2) Die Auskunft nach Absatz 1 darf auch anhand einer zu einem bestimmten Zeitpunkt zugewiesenen Internetprotokoll-Adresse verlangt werden (§ 174 Absatz 1 Satz 3, § 177 Absatz 1 Nummer 3 des Telekommunikationsgesetzes). Die rechtlichen und tatsächlichen Grundlagen des Auskunftsverlangens sind aktenkundig zu machen.</w:t>
      </w:r>
    </w:p>
    <w:p>
      <w:r>
        <w:t xml:space="preserve">(3) Der aufgrund eines Auskunftsverlangens Verpflichtete hat die zur Auskunftserteilung erforderlichen Daten unverzüglich und vollständig zu übermitteln.</w:t>
      </w:r>
    </w:p>
    <w:p>
      <w:r>
        <w:t xml:space="preserve">(4) Nach erfolgter Auskunft weist das Bundesamt die besonders wichtige Einrichtung oder die wichtige Einrichtung auf die bei ihr drohenden Beeinträchtigungen hin. Nach Möglichkeit weist das Bundesamt die besonders wichtige Einrichtung oder die wichtige Einrichtung auf technische Mittel hin, mittels derer die festgestellten Beeinträchtigungen durch die besonders wichtige Einrichtung oder die wichtige Einrichtung selbst beseitigt werden können.</w:t>
      </w:r>
    </w:p>
    <w:p>
      <w:r>
        <w:t xml:space="preserve">(5) Das Bundesamt kann personenbezogene Daten, die es im Rahmen dieser Vorschrift verarbeitet, entsprechend § 8 Absatz 6 und 7 übermitteln.</w:t>
      </w:r>
    </w:p>
    <w:p>
      <w:r>
        <w:t xml:space="preserve">(6) In den Fällen des Absatzes 2 ist die betroffene Person über die Auskunft zu benachrichtigen. Im Falle der Weitergabe der Information nach § 8 Absatz 6 oder wenn Tatsachen die Annahme rechtfertigen, dass die Voraussetzungen einer Weitergabe nach § 8 Absatz 6 vorliegen, ergeht darüber keine Benachrichtigung an die betroffene Person, sofern und solange überwiegende schutzwürdige Belange Dritter entgegenstehen. Wird nach Satz 2 die Benachrichtigung zurückgestellt oder wird von ihr abgesehen, sind die Gründe aktenkundig zu machen.</w:t>
      </w:r>
    </w:p>
    <w:p>
      <w:r>
        <w:t xml:space="preserve">(7) Das Bundesamt unterrichtet die Bundesbeauftragte oder den Bundesbeauftragten für den Datenschutz und die Informationsfreiheit jeweils bis zum 30. Juni des dem Berichtsjahr folgenden Jahres über</w:t>
      </w:r>
    </w:p>
    <w:p>
      <w:pPr>
        <w:ind w:left="420"/>
      </w:pPr>
      <w:r>
        <w:t xml:space="preserve">1. die Gesamtzahl der Vorgänge, in denen Daten nach Absatz 1 oder Absatz 2 an das Bundesamt übermittelt wurden, und</w:t>
      </w:r>
    </w:p>
    <w:p>
      <w:pPr>
        <w:ind w:left="420"/>
      </w:pPr>
      <w:r>
        <w:t xml:space="preserve">2. die Übermittlungen nach Absatz 5.</w:t>
      </w:r>
    </w:p>
    <w:p>
      <w:r>
        <w:t xml:space="preserve">(8) Das Bundesamt hat den Verpflichteten für ihm erteilte Auskünfte eine Entschädigung zu gewähren. Der Umfang der Entschädigung bemisst sich nach § 23 und Anlage 3 des Justizvergütungs- und ‑entschädigungsgesetzes; die Vorschriften über die Verjährung in § 2 Absatz 1 und 4 des Justizvergütungs- und ‑entschädigungsgesetzes finden entsprechende Anwendung.</w:t>
      </w:r>
    </w:p>
    <w:p>
      <w:r>
        <w:rPr>
          <w:color w:val="555555"/>
          <w:sz w:val="17"/>
        </w:rPr>
        <w:t xml:space="preserve">Zitiervorschlag: § 12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