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BSIG 2025 — Anordnungen von Maßnahmen zur Abwendung oder Behebung von Sicherheitsvorfällen</w:t>
      </w:r>
    </w:p>
    <w:p>
      <w:r>
        <w:rPr>
          <w:color w:val="555555"/>
          <w:sz w:val="18"/>
        </w:rPr>
        <w:t xml:space="preserve">BSI-Gesetz</w:t>
      </w:r>
    </w:p>
    <w:p>
      <w:r>
        <w:rPr>
          <w:color w:val="555555"/>
          <w:sz w:val="18"/>
        </w:rPr>
        <w:t xml:space="preserve">Stand: 07.12.2025 (konsolidierte Textfassung, kein amtliches Inkrafttretensdatum)</w:t>
      </w:r>
    </w:p>
    <w:p>
      <w:r>
        <w:t xml:space="preserve">Das Bundesamt kann im Einzelfall gegenüber Einrichtungen der Bundesverwaltung Maßnahmen anordnen, die zur Abwendung oder Behebung eines gegenwärtigen Sicherheitsvorfalls erforderlich sind. Ferner kann das Bundesamt die Einrichtungen der Bundesverwaltung zur Berichterstattung innerhalb einer angemessenen Frist zu den nach Satz 1 angeordneten Maßnahmen auffordern. Der oder die jeweils zuständige Informationssicherheitsbeauftragte des Ressorts wird über Anweisungen und Aufforderungen nach Satz 1 und 2 durch das Bundesamt informiert. Der Bericht ist dem Bundesamt und zugleich dem oder der Informationssicherheitsbeauftragten des jeweils zuständigen Ressorts zu übermitteln. Für die Berichterstattung gilt § 4 Absatz 3 entsprechend.</w:t>
      </w:r>
    </w:p>
    <w:p>
      <w:r>
        <w:rPr>
          <w:color w:val="555555"/>
          <w:sz w:val="17"/>
        </w:rPr>
        <w:t xml:space="preserve">Zitiervorschlag: § 10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