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9c BSIG 2009 — Freiwilliges IT-Sicherheitskennzeichen</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führt zur Information von Verbrauchern über die IT-Sicherheit von Produkten bestimmter vom Bundesamt festgelegter Produktkategorien ein einheitliches IT-Sicherheitskennzeichen ein. Das IT-Sicherheitskennzeichen trifft keine Aussage über die den Datenschutz betreffenden Eigenschaften eines Produktes.</w:t>
      </w:r>
    </w:p>
    <w:p>
      <w:r>
        <w:t xml:space="preserve">(2) Das IT-Sicherheitskennzeichen besteht aus</w:t>
      </w:r>
    </w:p>
    <w:p>
      <w:pPr>
        <w:ind w:left="420"/>
      </w:pPr>
      <w:r>
        <w:t xml:space="preserve">1. einer Zusicherung des Herstellers oder Diensteanbieters, dass das Produkt für eine festgelegte Dauer bestimmte IT-Sicherheitsanforderungen erfüllt (Herstellererklärung), und</w:t>
      </w:r>
    </w:p>
    <w:p>
      <w:pPr>
        <w:ind w:left="420"/>
      </w:pPr>
      <w:r>
        <w:t xml:space="preserve">2. einer Information des Bundesamtes über sicherheitsrelevante IT-Eigenschaften des Produktes (Sicherheitsinformation).</w:t>
      </w:r>
    </w:p>
    <w:p>
      <w:r>
        <w:t xml:space="preserve">(3) Die IT-Sicherheitsanforderungen, auf die sich die Herstellererklärung bezieht, ergeben sich aus einer Norm oder einem Standard oder aus einer branchenabgestimmten IT-Sicherheitsvorgabe, die die jeweilige Produktkategorie umfasst, sofern das Bundesamt in einem Verfahren, das durch Rechtsverordnung nach § 10 Absatz 3 geregelt wird, festgestellt hat, dass die Norm oder der Standard oder die branchenabgestimmte IT-Sicherheitsvorgabe geeignet ist, ausreichende IT-Sicherheitsanforderungen für die Produktkategorie abzubilden. Ein Anspruch auf diese Feststellung besteht nicht. Liegt keine Feststellung nach Satz 1 vor, ergeben sich die IT-Sicherheitsvorgaben aus einer vom Bundesamt veröffentlichten Technischen Richtlinie, die die jeweilige Produktkategorie umfasst, sofern das Bundesamt eine solche Richtlinie bereits veröffentlicht hat. Wird ein Produkt von mehr als einer oder einem bestehenden, als geeignet festgestellten Norm, Standard, branchenabgestimmten IT-Sicherheitsvorgabe oder Technischen Richtlinie umfasst, richten sich die Anforderungen nach der oder dem jeweils spezielleren bestehenden, als geeignet festgestellten Norm, Standard, branchenabgestimmten IT-Sicherheitsvorgabe oder Technischen Richtlinie.</w:t>
      </w:r>
    </w:p>
    <w:p>
      <w:r>
        <w:t xml:space="preserve">(4) Das IT-Sicherheitskennzeichen darf nur dann für ein Produkt verwendet werden, wenn das Bundesamt das IT-Sicherheitskennzeichen für dieses Produkt freigegeben hat. Das Bundesamt prüft die Freigabe des IT-Sicherheitskennzeichens für ein Produkt auf Antrag des Herstellers oder Diensteanbieters. Dem Antrag sind die Herstellererklärung zu dem Produkt sowie alle Unterlagen beizufügen, die die Angaben in der Herstellererklärung belegen. Das Bundesamt bestätigt den Eingang des Antrags und prüft die Plausibilität der Herstellererklärung anhand der beigefügten Unterlagen. Die Plausibilitätsprüfung kann auch durch einen vom Bundesamt beauftragten qualifizierten Dritten erfolgen. Für die Antragsbearbeitung kann das Bundesamt eine Verwaltungsgebühr erheben.</w:t>
      </w:r>
    </w:p>
    <w:p>
      <w:r>
        <w:t xml:space="preserve">(5) Das Bundesamt erteilt die Freigabe des IT-Sicherheitskennzeichens für das jeweilige Produkt, wenn</w:t>
      </w:r>
    </w:p>
    <w:p>
      <w:pPr>
        <w:ind w:left="420"/>
      </w:pPr>
      <w:r>
        <w:t xml:space="preserve">1. das Produkt zu einer der Produktkategorien gehört, die das Bundesamt durch im Bundesanzeiger veröffentlichte Allgemeinverfügung bekannt gegeben hat,</w:t>
      </w:r>
    </w:p>
    <w:p>
      <w:pPr>
        <w:ind w:left="420"/>
      </w:pPr>
      <w:r>
        <w:t xml:space="preserve">2. die Herstellererklärung plausibel und durch die beigefügten Unterlagen ausreichend belegt ist und</w:t>
      </w:r>
    </w:p>
    <w:p>
      <w:pPr>
        <w:ind w:left="420"/>
      </w:pPr>
      <w:r>
        <w:t xml:space="preserve">3. die gegebenenfalls erhobene Verwaltungsgebühr beglichen wurde.</w:t>
      </w:r>
    </w:p>
    <w:p>
      <w:r>
        <w:t xml:space="preserve">Die Erteilung der Freigabe erfolgt schriftlich und innerhalb einer angemessenen Frist, die in der Rechtsverordnung nach § 10 Absatz 3 bestimmt wird. Den genauen Ablauf des Antragsverfahrens und die beizufügenden Unterlagen regelt die Rechtsverordnung nach § 10 Absatz 3.</w:t>
      </w:r>
    </w:p>
    <w:p>
      <w:r>
        <w:t xml:space="preserve">(6) Hat das Bundesamt die Freigabe erteilt, ist das Etikett des IT-Sicherheitskennzeichens auf dem jeweiligen Produkt oder auf dessen Umverpackung anzubringen, sofern dies nach der Beschaffenheit des Produktes möglich ist. Das IT-Sicherheitskennzeichen kann auch elektronisch veröffentlicht werden. Wenn nach der Beschaffenheit des Produktes das Anbringen nicht möglich ist, muss die Veröffentlichung des IT-Sicherheitskennzeichens elektronisch erfolgen. Das Etikett des IT-Sicherheitskennzeichens verweist auf eine Internetseite des Bundesamtes, auf der die Herstellererklärung und die Sicherheitsinformationen abrufbar sind. Das genaue Verfahren und die Gestaltung des Verweises sind in der Rechtsverordnung nach § 10 Absatz 3 festzulegen.</w:t>
      </w:r>
    </w:p>
    <w:p>
      <w:r>
        <w:t xml:space="preserve">(7) Nach Ablauf der festgelegten Dauer nach Absatz 3 Satz 5 oder 6 oder nach Rücknahmeerklärung des Herstellers oder Diensteanbieters gegenüber dem Bundesamt erlischt die Freigabe. Das Bundesamt nimmt einen Hinweis auf das Erlöschen der Freigabe in die Sicherheitsinformation auf.</w:t>
      </w:r>
    </w:p>
    <w:p>
      <w:r>
        <w:t xml:space="preserve">(8) Das Bundesamt kann prüfen, ob die Anforderungen an die Freigabe des IT-Sicherheitskennzeichens für ein Produkt eingehalten werden. Werden bei der Prüfung Abweichungen von der abgegebenen Herstellererklärung oder Sicherheitslücken festgestellt, kann das Bundesamt die geeigneten Maßnahmen zum Schutz des Vertrauens der Verbraucher in das IT-Sicherheitskennzeichen treffen, insbesondere</w:t>
      </w:r>
    </w:p>
    <w:p>
      <w:pPr>
        <w:ind w:left="420"/>
      </w:pPr>
      <w:r>
        <w:t xml:space="preserve">1. Informationen über die Abweichungen oder Sicherheitslücken in geeigneter Weise in der Sicherheitsinformation veröffentlichen oder</w:t>
      </w:r>
    </w:p>
    <w:p>
      <w:pPr>
        <w:ind w:left="420"/>
      </w:pPr>
      <w:r>
        <w:t xml:space="preserve">2. die Freigabe des IT-Sicherheitskennzeichens widerrufen.</w:t>
      </w:r>
    </w:p>
    <w:p>
      <w:r>
        <w:t xml:space="preserve">Absatz 7 Satz 2 gilt entsprechend.</w:t>
      </w:r>
    </w:p>
    <w:p>
      <w:r>
        <w:t xml:space="preserve">(9) Bevor das Bundesamt eine Maßnahme nach Absatz 8 trifft, räumt es dem Hersteller oder Diensteanbieter Gelegenheit ein, die festgestellten Abweichungen oder Sicherheitslücken innerhalb eines angemessenen Zeitraumes zu beseitigen, es sei denn, gewichtige Gründe der Sicherheit der Produkte erfordern eine sofortige Maßnahme. Die Befugnis des Bundesamtes zur Warnung nach § 7 bleibt davon unberührt.</w:t>
      </w:r>
    </w:p>
    <w:p>
      <w:r>
        <w:rPr>
          <w:color w:val="555555"/>
          <w:sz w:val="17"/>
        </w:rPr>
        <w:t xml:space="preserve">Zitiervorschlag: § 9c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