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9b BSIG 2009 — Untersagung des Einsatzes kritischer Komponenten</w:t>
      </w:r>
    </w:p>
    <w:p>
      <w:r>
        <w:rPr>
          <w:color w:val="555555"/>
          <w:sz w:val="18"/>
        </w:rPr>
        <w:t xml:space="preserve">BSI-Gesetz</w:t>
      </w:r>
    </w:p>
    <w:p>
      <w:r>
        <w:rPr>
          <w:color w:val="555555"/>
          <w:sz w:val="18"/>
        </w:rPr>
        <w:t xml:space="preserve">Historische Fassung: Stand 28.05.2021 bis 07.12.2025. Dies ist nicht die aktuelle Fassung.</w:t>
      </w:r>
    </w:p>
    <w:p>
      <w:r>
        <w:t xml:space="preserve">(1) Der Betreiber einer Kritischen Infrastruktur hat den geplanten erstmaligen Einsatz einer kritischen Komponente gemäß § 2 Absatz 13 dem Bundesministerium des Innern, für Bau und Heimat vor ihrem Einsatz anzuzeigen. In der Anzeige sind die kritische Komponente und die geplante Art ihres Einsatzes anzugeben. Satz 1 gilt für einen Betreiber einer Kritischen Infrastruktur nicht, wenn dieser den Einsatz einer anderen kritischen Komponente desselben Typs für dieselbe Art des Einsatzes bereits nach Satz 1 angezeigt hat und ihm dieser nicht untersagt wurde.</w:t>
      </w:r>
    </w:p>
    <w:p>
      <w:r>
        <w:t xml:space="preserve">(2) Das Bundesministerium des Innern, für Bau und Heimat kann den geplanten erstmaligen Einsatz einer kritischen Komponente gegenüber dem Betreiber der Kritischen Infrastruktur im Benehmen mit den in § 10 Absatz 1 aufgeführten jeweils betroffenen Ressorts sowie dem Auswärtigen Amt bis zum Ablauf von zwei Monaten nach Eingang der Anzeige nach Absatz 1 untersagen oder Anordnungen erlassen, wenn der Einsatz die öffentliche Ordnung oder Sicherheit der Bundesrepublik Deutschland voraussichtlich beeinträchtigt. Bei der Prüfung einer voraussichtlichen Beeinträchtigung der öffentlichen Ordnung oder Sicherheit kann insbesondere berücksichtigt werden, ob</w:t>
      </w:r>
    </w:p>
    <w:p>
      <w:pPr>
        <w:ind w:left="420"/>
      </w:pPr>
      <w:r>
        <w:t xml:space="preserve">1. der Hersteller unmittelbar oder mittelbar von der Regierung, einschließlich sonstiger staatlicher Stellen oder Streitkräfte, eines Drittstaates kontrolliert wird,</w:t>
      </w:r>
    </w:p>
    <w:p>
      <w:pPr>
        <w:ind w:left="420"/>
      </w:pPr>
      <w:r>
        <w:t xml:space="preserve">2. der Hersteller bereits an Aktivitäten beteiligt war oder ist, die nachteilige Auswirkungen auf die öffentliche Ordnung oder Sicherheit der Bundesrepublik Deutschland oder eines anderen Mitgliedstaates der Europäischen Union, der Europäischen Freihandelsassoziation oder des Nordatlantikvertrages oder auf deren Einrichtungen hatten, oder</w:t>
      </w:r>
    </w:p>
    <w:p>
      <w:pPr>
        <w:ind w:left="420"/>
      </w:pPr>
      <w:r>
        <w:t xml:space="preserve">3. der Einsatz der kritischen Komponente im Einklang mit den sicherheitspolitischen Zielen der Bundesrepublik Deutschland, der Europäischen Union oder des Nordatlantikvertrages steht.</w:t>
      </w:r>
    </w:p>
    <w:p>
      <w:r>
        <w:t xml:space="preserve">Vor Ablauf der Frist von zwei Monaten nach Anzeige nach Absatz 1 ist der Einsatz nicht gestattet. Das Bundesministerium des Innern, für Bau und Heimat kann die Frist gegenüber dem Betreiber um weitere zwei Monate verlängern, wenn die Prüfung besondere Schwierigkeiten tatsächlicher oder rechtlicher Art aufweist.</w:t>
      </w:r>
    </w:p>
    <w:p>
      <w:r>
        <w:t xml:space="preserve">(3) Kritische Komponenten gemäß § 2 Absatz 13 dürfen nur eingesetzt werden, wenn der Hersteller eine Erklärung über seine Vertrauenswürdigkeit (Garantieerklärung) gegenüber dem Betreiber der Kritischen Infrastruktur abgeben hat. Die Garantieerklärung ist der Anzeige nach Absatz 1 beizufügen. Aus der Garantieerklärung muss hervorgehen, wie der Hersteller sicherstellt, dass die kritische Komponente nicht über technische Eigenschaften verfügt, die spezifisch geeignet sind, missbräuchlich, insbesondere zum Zwecke von Sabotage, Spionage oder Terrorismus auf die Sicherheit, Vertraulichkeit, Integrität, Verfügbarkeit oder Funktionsfähigkeit der Kritischen Infrastruktur einwirken zu können. Das Bundesministerium des Innern, für Bau und Heimat legt die Einzelheiten der Mindestanforderungen an die Garantieerklärung im Einvernehmen mit den in § 10 Absatz 1 aufgeführten jeweils betroffenen Ressorts sowie dem Auswärtigen Amt durch Allgemeinverfügung fest, die im Bundesanzeiger bekannt zu machen ist. Die Einzelheiten der Mindestanforderungen an die Garantieerklärung müssen aus den Schutzzielen der Sicherheit, Vertraulichkeit, Integrität, Verfügbarkeit oder Funktionsfähigkeit der Kritischen Infrastruktur folgen und die Vermeidung von Gefahren für die öffentliche Sicherheit und Ordnung, insbesondere im Sinne von Absatz 2 Satz 2, adressieren, die aus der Sphäre des Herstellers der kritischen Komponente, insbesondere dessen Organisationsstruktur, stammen. Die Sätze 1 und 2 gelten erst ab der Bekanntmachung der Allgemeinverfügung nach Satz 5 und nicht für bereits vor diesem Zeitpunkt eingesetzte kritische Komponenten. Soweit Änderungen der Allgemeinverfügung erfolgen, sind diese für bereits nach diesem Absatz abgegebene Garantieerklärungen unbeachtlich.</w:t>
      </w:r>
    </w:p>
    <w:p>
      <w:r>
        <w:t xml:space="preserve">(4) Das Bundesministerium des Innern, für Bau und Heimat kann den weiteren Einsatz einer kritischen Komponente gegenüber dem Betreiber der Kritischen Infrastruktur im Einvernehmen mit den in § 10 Absatz 1 aufgeführten jeweils betroffenen Ressorts sowie dem Auswärtigen Amt untersagen oder Anordnungen erlassen, wenn der weitere Einsatz die öffentliche Ordnung oder Sicherheit der Bundesrepublik Deutschland voraussichtlich beeinträchtigt, insbesondere, wenn der Hersteller der kritischen Komponente nicht vertrauenswürdig ist. Absatz 2 Satz 2 gilt entsprechend.</w:t>
      </w:r>
    </w:p>
    <w:p>
      <w:r>
        <w:t xml:space="preserve">(5) Ein Hersteller einer kritischen Komponente kann insbesondere dann nicht vertrauenswürdig sein, wenn hinreichende Anhaltspunkte dafür bestehen, dass</w:t>
      </w:r>
    </w:p>
    <w:p>
      <w:pPr>
        <w:ind w:left="420"/>
      </w:pPr>
      <w:r>
        <w:t xml:space="preserve">1. er gegen die in der Garantieerklärung eingegangen Verpflichtungen verstoßen hat,</w:t>
      </w:r>
    </w:p>
    <w:p>
      <w:pPr>
        <w:ind w:left="420"/>
      </w:pPr>
      <w:r>
        <w:t xml:space="preserve">2. in der Garantieerklärung angegebene Tatsachenbehauptungen unwahr sind,</w:t>
      </w:r>
    </w:p>
    <w:p>
      <w:pPr>
        <w:ind w:left="420"/>
      </w:pPr>
      <w:r>
        <w:t xml:space="preserve">3. er Sicherheitsüberprüfungen und Penetrationsanalysen an seinem Produkt und in der Produktionsumgebung nicht im erforderlichen Umfang in angemessener Weise unterstützt,</w:t>
      </w:r>
    </w:p>
    <w:p>
      <w:pPr>
        <w:ind w:left="420"/>
      </w:pPr>
      <w:r>
        <w:t xml:space="preserve">4. Schwachstellen oder Manipulationen nicht unverzüglich, nachdem er davon Kenntnis erlangt, beseitigt und dem Betreiber der Kritischen Infrastruktur meldet,</w:t>
      </w:r>
    </w:p>
    <w:p>
      <w:pPr>
        <w:ind w:left="420"/>
      </w:pPr>
      <w:r>
        <w:t xml:space="preserve">5. die kritische Komponente auf Grund von Mängeln ein erhöhtes Gefährdungspotenzial aufweist oder aufgewiesen hat, missbräuchlich auf die Sicherheit, Vertraulichkeit, Integrität, Verfügbarkeit oder Funktionsfähigkeit der Kritischen Infrastruktur einwirken zu können oder</w:t>
      </w:r>
    </w:p>
    <w:p>
      <w:pPr>
        <w:ind w:left="420"/>
      </w:pPr>
      <w:r>
        <w:t xml:space="preserve">6. die kritische Komponente über technische Eigenschaften verfügt oder verfügt hat, die spezifisch geeignet sind oder waren, missbräuchlich auf die Sicherheit, Vertraulichkeit, Integrität, Verfügbarkeit oder Funktionsfähigkeit der Kritischen Infrastruktur einwirken zu können.</w:t>
      </w:r>
    </w:p>
    <w:p>
      <w:r>
        <w:t xml:space="preserve">(6) Wurde nach Absatz 4 der weitere Einsatz einer kritischen Komponente untersagt, kann das Bundesministerium des Innern, für Bau und Heimat im Einvernehmen mit den in § 10 Absatz 1 aufgeführten jeweils betroffenen Ressorts sowie dem Auswärtigen Amt</w:t>
      </w:r>
    </w:p>
    <w:p>
      <w:pPr>
        <w:ind w:left="420"/>
      </w:pPr>
      <w:r>
        <w:t xml:space="preserve">1. den geplanten Einsatz weiterer kritischer Komponenten desselben Typs und desselben Herstellers untersagen und</w:t>
      </w:r>
    </w:p>
    <w:p>
      <w:pPr>
        <w:ind w:left="420"/>
      </w:pPr>
      <w:r>
        <w:t xml:space="preserve">2. den weiteren Einsatz kritischer Komponenten desselben Typs und desselben Herstellers unter Einräumung einer angemessenen Frist untersagen.</w:t>
      </w:r>
    </w:p>
    <w:p>
      <w:r>
        <w:t xml:space="preserve">(7) Bei schwerwiegenden Fällen nicht vorliegender Vertrauenswürdigkeit nach Absatz 5 kann das Bundesministerium des Innern, für Bau und Heimat den Einsatz aller kritischen Komponenten des Herstellers im Einvernehmen mit den in § 10 Absatz 1 aufgeführten jeweils betroffenen Ressorts sowie dem Auswärtigen Amt untersagen.</w:t>
      </w:r>
    </w:p>
    <w:p>
      <w:r>
        <w:rPr>
          <w:color w:val="555555"/>
          <w:sz w:val="17"/>
        </w:rPr>
        <w:t xml:space="preserve">Zitiervorschlag: § 9b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https://recht.nulegal.eu/gesetze/BSIG%202009/9b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