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8c BSIG 2009 — Besondere Anforderungen an Anbieter digitaler Dienste</w:t>
      </w:r>
    </w:p>
    <w:p>
      <w:r>
        <w:rPr>
          <w:color w:val="555555"/>
          <w:sz w:val="18"/>
        </w:rPr>
        <w:t xml:space="preserve">BSI-Gesetz</w:t>
      </w:r>
    </w:p>
    <w:p>
      <w:r>
        <w:rPr>
          <w:color w:val="555555"/>
          <w:sz w:val="18"/>
        </w:rPr>
        <w:t xml:space="preserve">Historische Fassung: Stand 28.05.2021 bis 07.12.2025. Dies ist nicht die aktuelle Fassung.</w:t>
      </w:r>
    </w:p>
    <w:p>
      <w:r>
        <w:t xml:space="preserve">(1) Anbieter digitaler Dienste haben geeignete und verhältnismäßige technische und organisatorische Maßnahmen zu treffen, um Risiken für die Sicherheit der Netz- und Informationssysteme, die sie zur Bereitstellung der digitalen Dienste innerhalb der Europäischen Union nutzen, zu bewältigen. Sie haben Maßnahmen zu treffen, um den Auswirkungen von Sicherheitsvorfällen auf innerhalb der Europäischen Union erbrachte digitale Dienste vorzubeugen oder die Auswirkungen so gering wie möglich zu halten.</w:t>
      </w:r>
    </w:p>
    <w:p>
      <w:r>
        <w:t xml:space="preserve">(2) Maßnahmen zur Bewältigung von Risiken für die Sicherheit der Netz- und Informationssysteme nach Absatz 1 Satz 1 müssen unter Berücksichtigung des Stands der Technik ein Sicherheitsniveau der Netz- und Informationssysteme gewährleisten, das dem bestehenden Risiko angemessen ist. Dabei ist folgenden Aspekten Rechnung zu tragen:</w:t>
      </w:r>
    </w:p>
    <w:p>
      <w:pPr>
        <w:ind w:left="420"/>
      </w:pPr>
      <w:r>
        <w:t xml:space="preserve">1. der Sicherheit der Systeme und Anlagen,</w:t>
      </w:r>
    </w:p>
    <w:p>
      <w:pPr>
        <w:ind w:left="420"/>
      </w:pPr>
      <w:r>
        <w:t xml:space="preserve">2. der Erkennung, Analyse und Eindämmung von Sicherheitsvorfällen,</w:t>
      </w:r>
    </w:p>
    <w:p>
      <w:pPr>
        <w:ind w:left="420"/>
      </w:pPr>
      <w:r>
        <w:t xml:space="preserve">3. dem Betriebskontinuitätsmanagement,</w:t>
      </w:r>
    </w:p>
    <w:p>
      <w:pPr>
        <w:ind w:left="420"/>
      </w:pPr>
      <w:r>
        <w:t xml:space="preserve">4. der Überwachung, Überprüfung und Erprobung,</w:t>
      </w:r>
    </w:p>
    <w:p>
      <w:pPr>
        <w:ind w:left="420"/>
      </w:pPr>
      <w:r>
        <w:t xml:space="preserve">5. der Einhaltung internationaler Normen.</w:t>
      </w:r>
    </w:p>
    <w:p>
      <w:r>
        <w:t xml:space="preserve">Die notwendigen Maßnahmen werden durch Durchführungsrechtsakte der Kommission nach Artikel 16 Absatz 8 der Richtlinie (EU) 2016/1148 näher bestimmt.</w:t>
      </w:r>
    </w:p>
    <w:p>
      <w:r>
        <w:t xml:space="preserve">(3) Anbieter digitaler Dienste haben jeden Sicherheitsvorfall, der erhebliche Auswirkungen auf die Bereitstellung eines von ihnen innerhalb der Europäischen Union erbrachten digitalen Dienstes hat, unverzüglich dem Bundesamt zu melden. Die Voraussetzungen, nach denen Auswirkungen eines Sicherheitsvorfalls erheblich sind, werden durch Durchführungsakte der Kommission nach Artikel 16 Absatz 8 der Richtlinie (EU) 2016/1148 unter Berücksichtigung insbesondere der folgenden Parameter näher bestimmt:</w:t>
      </w:r>
    </w:p>
    <w:p>
      <w:pPr>
        <w:ind w:left="420"/>
      </w:pPr>
      <w:r>
        <w:t xml:space="preserve">1. die Zahl der von dem Sicherheitsvorfall betroffenen Nutzer, insbesondere der Nutzer, die den Dienst für die Bereitstellung ihrer eigenen Dienste benötigen,</w:t>
      </w:r>
    </w:p>
    <w:p>
      <w:pPr>
        <w:ind w:left="420"/>
      </w:pPr>
      <w:r>
        <w:t xml:space="preserve">2. die Dauer des Sicherheitsvorfalls,</w:t>
      </w:r>
    </w:p>
    <w:p>
      <w:pPr>
        <w:ind w:left="420"/>
      </w:pPr>
      <w:r>
        <w:t xml:space="preserve">3. das von dem Sicherheitsvorfall betroffene geographische Gebiet,</w:t>
      </w:r>
    </w:p>
    <w:p>
      <w:pPr>
        <w:ind w:left="420"/>
      </w:pPr>
      <w:r>
        <w:t xml:space="preserve">4. das Ausmaß der Unterbrechung der Bereitstellung des Dienstes,</w:t>
      </w:r>
    </w:p>
    <w:p>
      <w:pPr>
        <w:ind w:left="420"/>
      </w:pPr>
      <w:r>
        <w:t xml:space="preserve">5. das Ausmaß der Auswirkungen auf wirtschaftliche und gesellschaftliche Tätigkeiten.</w:t>
      </w:r>
    </w:p>
    <w:p>
      <w:r>
        <w:t xml:space="preserve">Die Pflicht zur Meldung eines Sicherheitsvorfalls entfällt, wenn der Anbieter keinen ausreichenden Zugang zu den Informationen hat, die erforderlich sind, um die Auswirkung eines Sicherheitsvorfalls gemessen an den Parametern nach Satz 2 zu bewerten. Für den Inhalt der Meldungen gilt § 8b Absatz 4 entsprechend, soweit nicht Durchführungsakte der Kommission nach Artikel 16 Absatz 9 der Richtlinie (EU) 2016/1148 etwas anderes bestimmen. Über nach Satz 1 gemeldete Sicherheitsvorfälle, die Auswirkungen in einem anderen Mitgliedstaat der Europäischen Union haben, hat das Bundesamt die zuständige Behörde dieses Mitgliedstaats zu unterrichten.</w:t>
      </w:r>
    </w:p>
    <w:p>
      <w:r>
        <w:t xml:space="preserve">(4) Liegen Anhaltspunkte dafür vor, dass ein Anbieter digitaler Dienste die Anforderungen des Absatzes 1 in Verbindung mit den Durchführungsrechtsakten der Kommission nach Artikel 16 Absatz 8 der Richtlinie (EU) 2016/1148 und des Absatzes 2 in Verbindung mit den Durchführungsrechtsakten der Kommission nach Artikel 16 Absatz 9 der Richtlinie (EU) 2016/1148 nicht erfüllt, kann das Bundesamt von dem Anbieter digitaler Dienste folgende Maßnahmen verlangen:</w:t>
      </w:r>
    </w:p>
    <w:p>
      <w:pPr>
        <w:ind w:left="420"/>
      </w:pPr>
      <w:r>
        <w:t xml:space="preserve">1. die Übermittlung der zur Beurteilung der Sicherheit seiner Netz- und Informationssysteme erforderlichen Informationen, einschließlich Nachweisen über ergriffene Sicherheitsmaßnahmen,</w:t>
      </w:r>
    </w:p>
    <w:p>
      <w:pPr>
        <w:ind w:left="420"/>
      </w:pPr>
      <w:r>
        <w:t xml:space="preserve">2. die Beseitigung von Mängeln bei der Erfüllung der in den Absätzen 1 und 2 bestimmten Anforderungen.</w:t>
      </w:r>
    </w:p>
    <w:p>
      <w:r>
        <w:t xml:space="preserve">Die Anhaltspunkte können sich auch aus Feststellungen ergeben, die dem Bundesamt von den zuständigen Behörden eines anderen Mitgliedstaats der Europäischen Union vorgelegt werden.</w:t>
      </w:r>
    </w:p>
    <w:p>
      <w:r>
        <w:t xml:space="preserve">(5) Hat ein Anbieter digitaler Dienste seine Hauptniederlassung, einen Vertreter oder Netz- und Informationssysteme in einem anderen Mitgliedstaat der Europäischen Union, so arbeitet das Bundesamt bei der Erfüllung der Aufgaben nach Absatz 4 mit der zuständigen Behörde dieses Mitgliedstaats zusammen. Diese Zusammenarbeit kann das Ersuchen umfassen, die Maßnahmen in Absatz 4 Satz 1 Nummer 1 und 2 zu ergreifen.</w:t>
      </w:r>
    </w:p>
    <w:p>
      <w:r>
        <w:rPr>
          <w:color w:val="555555"/>
          <w:sz w:val="17"/>
        </w:rPr>
        <w:t xml:space="preserve">Zitiervorschlag: § 8c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https://recht.nulegal.eu/gesetze/BSIG%202009/8c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