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6d BSIG 2009 — Recht auf Löschung</w:t>
      </w:r>
    </w:p>
    <w:p>
      <w:r>
        <w:rPr>
          <w:color w:val="555555"/>
          <w:sz w:val="18"/>
        </w:rPr>
        <w:t xml:space="preserve">BSI-Gesetz</w:t>
      </w:r>
    </w:p>
    <w:p>
      <w:r>
        <w:rPr>
          <w:color w:val="555555"/>
          <w:sz w:val="18"/>
        </w:rPr>
        <w:t xml:space="preserve">Historische Fassung: Stand 02.12.2019 bis 07.12.2025. Dies ist nicht die aktuelle Fassung.</w:t>
      </w:r>
    </w:p>
    <w:p>
      <w:r>
        <w:t xml:space="preserve">(1) Im Fall der nicht automatisierten Verarbeitung besteht die Pflicht des Bundesamtes zur Löschung personenbezogener Daten gemäß Artikel 17 Absatz 1 und 2 der Verordnung (EU) 2016/679 ergänzend zu den in Artikel 17 Absatz 3 genannten Ausnahmen nicht, wenn</w:t>
      </w:r>
    </w:p>
    <w:p>
      <w:pPr>
        <w:ind w:left="420"/>
      </w:pPr>
      <w:r>
        <w:t xml:space="preserve">1. eine Löschung wegen der besonderen Art der Speicherung nicht oder nur mit unverhältnismäßig hohem Aufwand möglich ist und</w:t>
      </w:r>
    </w:p>
    <w:p>
      <w:pPr>
        <w:ind w:left="420"/>
      </w:pPr>
      <w:r>
        <w:t xml:space="preserve">2. das Interesse der betroffenen Person an der Löschung als gering anzusehen ist.</w:t>
      </w:r>
    </w:p>
    <w:p>
      <w:r>
        <w:t xml:space="preserve">In diesem Fall tritt an die Stelle der Löschung eine Einschränkung der Verarbeitung gemäß Artikel 18 der Verordnung (EU) 2016/679. Die Sätze 1 und 2 sind nicht anzuwenden, wenn die personenbezogenen Daten unrechtmäßig verarbeitet wurden.</w:t>
      </w:r>
    </w:p>
    <w:p>
      <w:r>
        <w:t xml:space="preserve">(2) Ist die Löschung lediglich für eine etwaige gerichtliche Überprüfung von Maßnahmen nach § 5 Absatz 3 zurückgestellt, dürfen die Daten ohne Einwilligung der betroffenen Person nur zu diesem Zweck verwendet werden; sie sind für andere Zwecke in der Verarbeitung einzuschränken. § 5 Absatz 7 bleibt unberührt.</w:t>
      </w:r>
    </w:p>
    <w:p>
      <w:r>
        <w:rPr>
          <w:color w:val="555555"/>
          <w:sz w:val="17"/>
        </w:rPr>
        <w:t xml:space="preserve">Zitiervorschlag: § 6d BSIG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https://recht.nulegal.eu/gesetze/BSIG%202009/6d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