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BSIG 2009 — Begriffsbestimmungen</w:t>
      </w:r>
    </w:p>
    <w:p>
      <w:r>
        <w:rPr>
          <w:color w:val="555555"/>
          <w:sz w:val="18"/>
        </w:rPr>
        <w:t xml:space="preserve">BSI-Gesetz</w:t>
      </w:r>
    </w:p>
    <w:p>
      <w:r>
        <w:rPr>
          <w:color w:val="555555"/>
          <w:sz w:val="18"/>
        </w:rPr>
        <w:t xml:space="preserve">Historische Fassung: Stand 01.12.2021 bis 07.12.2025. Dies ist nicht die aktuelle Fassung.</w:t>
      </w:r>
    </w:p>
    <w:p>
      <w:r>
        <w:t xml:space="preserve">(1) Die Informationstechnik im Sinne dieses Gesetzes umfasst alle technischen Mittel zur Verarbeitung von Informationen.</w:t>
      </w:r>
    </w:p>
    <w:p>
      <w:r>
        <w:t xml:space="preserve">(2) Informationen sowie informationsverarbeitende Systeme, Komponenten und Prozesse sind besonders schützenswert. Der Zugriff auf diese darf ausschließlich durch autorisierte Personen oder Programme erfolgen. Die Sicherheit in der Informationstechnik und der damit verbundene Schutz von Informationen und informationsverarbeitenden Systemen vor Angriffen und unautorisierten Zugriffen im Sinne dieses Gesetzes erfordert die Einhaltung bestimmter Sicherheitsstandards zur Gewährleistung der informationstechnischen Grundwerte und Schutzziele. Sicherheit in der Informationstechnik im Sinne dieses Gesetzes bedeutet die Einhaltung bestimmter Sicherheitsstandards, die die Verfügbarkeit, Integrität oder Vertraulichkeit von Informationen betreffen, durch Sicherheitsvorkehrungen</w:t>
      </w:r>
    </w:p>
    <w:p>
      <w:pPr>
        <w:ind w:left="420"/>
      </w:pPr>
      <w:r>
        <w:t xml:space="preserve">1. in informationstechnischen Systemen, Komponenten oder Prozessen oder</w:t>
      </w:r>
    </w:p>
    <w:p>
      <w:pPr>
        <w:ind w:left="420"/>
      </w:pPr>
      <w:r>
        <w:t xml:space="preserve">2. bei der Anwendung von informationstechnischen Systemen, Komponenten oder Prozessen.</w:t>
      </w:r>
    </w:p>
    <w:p>
      <w:r>
        <w:t xml:space="preserve">(3) Kommunikationstechnik des Bundes im Sinne dieses Gesetzes ist die Informationstechnik, die von einer oder mehreren Bundesbehörden oder im Auftrag einer oder mehrerer Bundesbehörden betrieben wird und der Kommunikation oder dem Datenaustausch innerhalb einer Bundesbehörde, der Bundesbehörden untereinander oder der Bundesbehörden mit Dritten dient. Kommunikationstechnik des Bundesverfassungsgerichts, der Bundesgerichte, soweit sie nicht öffentlich-rechtliche Verwaltungsaufgaben wahrnehmen, des Bundestages, des Bundesrates, des Bundespräsidenten und des Bundesrechnungshofes ist nicht Kommunikationstechnik des Bundes, soweit sie ausschließlich in deren eigener Zuständigkeit betrieben wird.</w:t>
      </w:r>
    </w:p>
    <w:p>
      <w:r>
        <w:t xml:space="preserve">(4) Schnittstellen der Kommunikationstechnik des Bundes im Sinne dieses Gesetzes sind sicherheitsrelevante Netzwerkübergänge innerhalb der Kommunikationstechnik des Bundes sowie zwischen dieser und der Informationstechnik der einzelnen Bundesbehörden, Gruppen von Bundesbehörden oder Dritter. Dies gilt nicht für die Komponenten an den Netzwerkübergängen, die in eigener Zuständigkeit der in Absatz 3 Satz 2 genannten Gerichte und Verfassungsorgane betrieben werden.</w:t>
      </w:r>
    </w:p>
    <w:p>
      <w:r>
        <w:t xml:space="preserve">(5) Schadprogramme im Sinne dieses Gesetzes sind Programme und sonstige informationstechnische Routinen und Verfahren, die dem Zweck dienen, unbefugt Daten zu nutzen oder zu löschen oder die dem Zweck dienen, unbefugt auf sonstige informationstechnische Abläufe einzuwirken.</w:t>
      </w:r>
    </w:p>
    <w:p>
      <w:r>
        <w:t xml:space="preserve">(6) Sicherheitslücken im Sinne dieses Gesetzes sind Eigenschaften von Programmen oder sonstigen informationstechnischen Systemen, durch deren Ausnutzung es möglich ist, dass sich Dritte gegen den Willen des Berechtigten Zugang zu fremden informationstechnischen Systemen verschaffen oder die Funktion der informationstechnischen Systeme beeinflussen können.</w:t>
      </w:r>
    </w:p>
    <w:p>
      <w:r>
        <w:t xml:space="preserve">(7) Zertifizierung im Sinne dieses Gesetzes ist die Feststellung durch eine Zertifizierungsstelle, dass ein Produkt, ein Prozess, ein System, ein Schutzprofil (Sicherheitszertifizierung), eine Person (Personenzertifizierung) oder ein IT-Sicherheitsdienstleister bestimmte Anforderungen erfüllt.</w:t>
      </w:r>
    </w:p>
    <w:p>
      <w:r>
        <w:t xml:space="preserve">(8) Protokolldaten im Sinne dieses Gesetzes sind Steuerdaten eines informationstechnischen Protokolls zur Datenübertragung, die unabhängig vom Inhalt eines Kommunikationsvorgangs übertragen oder auf den am Kommunikationsvorgang beteiligten Servern gespeichert werden und zur Gewährleistung der Kommunikation zwischen Empfänger und Sender notwendig sind. Protokolldaten können Verkehrsdaten gemäß § 3 Nummer 70 des Telekommunikationsgesetzes und Nutzungsdaten nach § 2 Absatz 2 Nummer 3 des Telekommunikation-Telemedien-Datenschutz-Gesetzes enthalten.</w:t>
      </w:r>
    </w:p>
    <w:p>
      <w:r>
        <w:t xml:space="preserve">(8a) Protokollierungsdaten im Sinne dieses Gesetzes sind Aufzeichnungen über technische Ereignisse oder Zustände innerhalb informationstechnischer Systeme.</w:t>
      </w:r>
    </w:p>
    <w:p>
      <w:r>
        <w:t xml:space="preserve">(9) Datenverkehr im Sinne dieses Gesetzes sind die mittels technischer Protokolle übertragenen Daten. Der Datenverkehr kann Telekommunikationsinhalte nach § 3 Absatz 1 des Telekommunikation-Telemedien-Datenschutz-Gesetzes und Nutzungsdaten nach § 2 Absatz 2 Nummer 3 des Telekommunikation-Telemedien-Datenschutz-Gesetzes enthalten.</w:t>
      </w:r>
    </w:p>
    <w:p>
      <w:r>
        <w:t xml:space="preserve">(9a) IT-Produkte im Sinne dieses Gesetzes sind Software, Hardware sowie alle einzelnen oder miteinander verbundenen Komponenten, die Informationen informationstechnisch verarbeiten.</w:t>
      </w:r>
    </w:p>
    <w:p>
      <w:r>
        <w:t xml:space="preserve">(9b) Systeme zur Angriffserkennung im Sinne dieses Gesetzes sind durch technische Werkzeuge und organisatorische Einbindung unterstützte Prozesse zur Erkennung von Angriffen auf informationstechnische Systeme. Die Angriffserkennung erfolgt dabei durch Abgleich der in einem informationstechnischen System verarbeiteten Daten mit Informationen und technischen Mustern, die auf Angriffe hindeuten.</w:t>
      </w:r>
    </w:p>
    <w:p>
      <w:r>
        <w:t xml:space="preserve">(10) Kritische Infrastrukturen im Sinne dieses Gesetzes sind Einrichtungen, Anlagen oder Teile davon, die</w:t>
      </w:r>
    </w:p>
    <w:p>
      <w:pPr>
        <w:ind w:left="420"/>
      </w:pPr>
      <w:r>
        <w:t xml:space="preserve">1. den Sektoren Energie, Informationstechnik und Telekommunikation, Transport und Verkehr, Gesundheit, Wasser, Ernährung, Finanz- und Versicherungswesen sowie Siedlungsabfallentsorgung angehören und</w:t>
      </w:r>
    </w:p>
    <w:p>
      <w:pPr>
        <w:ind w:left="420"/>
      </w:pPr>
      <w:r>
        <w:t xml:space="preserve">2. von hoher Bedeutung für das Funktionieren des Gemeinwesens sind, weil durch ihren Ausfall oder ihre Beeinträchtigung erhebliche Versorgungsengpässe oder Gefährdungen für die öffentliche Sicherheit eintreten würden.</w:t>
      </w:r>
    </w:p>
    <w:p>
      <w:r>
        <w:t xml:space="preserve">Die Kritischen Infrastrukturen im Sinne dieses Gesetzes werden durch die Rechtsverordnung nach § 10 Absatz 1 näher bestimmt.</w:t>
      </w:r>
    </w:p>
    <w:p>
      <w:r>
        <w:t xml:space="preserve">(11) Digitale Dienste im Sinne dieses Gesetzes sind Dienste im Sinne von Artikel 1 Absatz 1 Buchstabe b der Richtlinie (EU) 2015/1535 des Europäischen Parlaments und des Rates vom 9. September 2015 über ein Informationsverfahren auf dem Gebiet der technischen Vorschriften und der Vorschriften für die Dienste der Informationsgesellschaft (ABl. L 241 vom 17.9.2015, S. 1), und die</w:t>
      </w:r>
    </w:p>
    <w:p>
      <w:pPr>
        <w:ind w:left="420"/>
      </w:pPr>
      <w:r>
        <w:t xml:space="preserve">1. es Verbrauchern oder Unternehmern im Sinne des Artikels 4 Absatz 1 Buchstabe a beziehungsweise Buchstabe b der Richtlinie 2013/11/EU des Europäischen Parlaments und des Rates vom 21. Mai 2013 über die alternative Beilegung verbraucherrechtlicher Streitigkeiten und zur Änderung der Verordnung (EG) Nr. 2006/2004 und der Richtlinie 2009/22/EG (Richtlinie über alternative Streitbeilegung in Verbraucherangelegenheiten) (ABl. L 165 vom 18.6.2013, S. 63) ermöglichen, Kaufverträge oder Dienstleistungsverträge mit Unternehmern entweder auf der Webseite dieser Dienste oder auf der Webseite eines Unternehmers, die von diesen Diensten bereitgestellte Rechendienste verwendet, abzuschließen (Online-Marktplätze);</w:t>
      </w:r>
    </w:p>
    <w:p>
      <w:pPr>
        <w:ind w:left="420"/>
      </w:pPr>
      <w:r>
        <w:t xml:space="preserve">2. es Nutzern ermöglichen, Suchen grundsätzlich auf allen Webseiten oder auf Webseiten in einer bestimmten Sprache anhand einer Abfrage zu einem beliebigen Thema in Form eines Stichworts, einer Wortgruppe oder einer anderen Eingabe vorzunehmen, die daraufhin Links anzeigen, über die der Abfrage entsprechende Inhalte abgerufen werden können (Online-Suchmaschinen);</w:t>
      </w:r>
    </w:p>
    <w:p>
      <w:pPr>
        <w:ind w:left="420"/>
      </w:pPr>
      <w:r>
        <w:t xml:space="preserve">3. den Zugang zu einem skalierbaren und elastischen Pool gemeinsam nutzbarer Rechenressourcen ermöglichen (Cloud-Computing-Dienste),</w:t>
      </w:r>
    </w:p>
    <w:p>
      <w:r>
        <w:t xml:space="preserve">und nicht zum Schutz grundlegender staatlicher Funktionen eingerichtet worden sind oder für diese genutzt werden.</w:t>
      </w:r>
    </w:p>
    <w:p>
      <w:r>
        <w:t xml:space="preserve">(12) „Anbieter digitaler Dienste“ im Sinne dieses Gesetzes ist eine juristische Person, die einen digitalen Dienst anbietet.</w:t>
      </w:r>
    </w:p>
    <w:p>
      <w:r>
        <w:t xml:space="preserve">(13) Kritische Komponenten im Sinne dieses Gesetzes sind IT-Produkte,</w:t>
      </w:r>
    </w:p>
    <w:p>
      <w:pPr>
        <w:ind w:left="420"/>
      </w:pPr>
      <w:r>
        <w:t xml:space="preserve">1. die in Kritischen Infrastrukturen eingesetzt werden,</w:t>
      </w:r>
    </w:p>
    <w:p>
      <w:pPr>
        <w:ind w:left="420"/>
      </w:pPr>
      <w:r>
        <w:t xml:space="preserve">2. bei denen Störungen der Verfügbarkeit, Integrität, Authentizität und Vertraulichkeit zu einem Ausfall oder zu einer erheblichen Beeinträchtigung der Funktionsfähigkeit Kritischer Infrastrukturen oder zu Gefährdungen für die öffentliche Sicherheit führen können und</w:t>
      </w:r>
    </w:p>
    <w:p>
      <w:pPr>
        <w:ind w:left="420"/>
      </w:pPr>
      <w:r>
        <w:t xml:space="preserve">3. die auf Grund eines Gesetzes unter Verweis auf diese Vorschrift</w:t>
      </w:r>
    </w:p>
    <w:p>
      <w:pPr>
        <w:ind w:left="780"/>
      </w:pPr>
      <w:r>
        <w:t xml:space="preserve">a) als kritische Komponente bestimmt werden oder</w:t>
      </w:r>
    </w:p>
    <w:p>
      <w:pPr>
        <w:ind w:left="780"/>
      </w:pPr>
      <w:r>
        <w:t xml:space="preserve">b) eine auf Grund eines Gesetzes als kritisch bestimmte Funktion realisieren.</w:t>
      </w:r>
    </w:p>
    <w:p>
      <w:r>
        <w:t xml:space="preserve">Werden für einen der in Absatz 10 Satz 1 Nummer 1 genannten Sektoren keine kritischen Komponenten und keine kritischen Funktionen, aus denen kritische Komponenten abgeleitet werden können, auf Grund eines Gesetzes unter Verweis auf diese Vorschrift bestimmt, gibt es in diesem Sektor keine kritischen Komponenten im Sinne dieses Gesetzes.</w:t>
      </w:r>
    </w:p>
    <w:p>
      <w:r>
        <w:t xml:space="preserve">(14) Unternehmen im besonderen öffentlichen Interesse sind Unternehmen, die nicht Betreiber Kritischer Infrastrukturen nach Absatz 10 sind und</w:t>
      </w:r>
    </w:p>
    <w:p>
      <w:pPr>
        <w:ind w:left="420"/>
      </w:pPr>
      <w:r>
        <w:t xml:space="preserve">1. die Güter nach § 60 Absatz 1 Nummer 1 und 3 der Außenwirtschaftsverordnung in der jeweils geltenden Fassung herstellen oder entwickeln,</w:t>
      </w:r>
    </w:p>
    <w:p>
      <w:pPr>
        <w:ind w:left="420"/>
      </w:pPr>
      <w:r>
        <w:t xml:space="preserve">2. die nach ihrer inländischen Wertschöpfung zu den größten Unternehmen in Deutschland gehören und daher von erheblicher volkswirtschaftlicher Bedeutung für die Bundesrepublik Deutschland sind oder die für solche Unternehmen als Zulieferer wegen ihrer Alleinstellungsmerkmale von wesentlicher Bedeutung sind oder</w:t>
      </w:r>
    </w:p>
    <w:p>
      <w:pPr>
        <w:ind w:left="420"/>
      </w:pPr>
      <w:r>
        <w:t xml:space="preserve">3. die Betreiber eines Betriebsbereichs der oberen Klasse im Sinne der Störfall-Verordnung in der jeweils geltenden Fassung sind oder nach § 1 Absatz 2 der Störfall-Verordnung diesen gleichgestellt sind.</w:t>
      </w:r>
    </w:p>
    <w:p>
      <w:r>
        <w:t xml:space="preserve">Die Unternehmen im besonderen öffentlichen Interesse nach Satz 1 Nummer 2 werden durch die Rechtsverordnung nach § 10 Absatz 5 bestimmt, in der festgelegt wird, welche wirtschaftlichen Kennzahlen maßgeblich dafür sind, dass ein Unternehmen zu den größten Unternehmen in Deutschland im Sinne der Nummer 2 gehört und welche Alleinstellungsmerkmale maßgeblich dafür sind, dass Zulieferer für solche Unternehmen von wesentlicher Bedeutung sind.</w:t>
      </w:r>
    </w:p>
    <w:p>
      <w:r>
        <w:rPr>
          <w:color w:val="555555"/>
          <w:sz w:val="17"/>
        </w:rPr>
        <w:t xml:space="preserve">Zitiervorschlag: § 2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