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BSIG 2009 — Bußgeldvorschriften</w:t>
      </w:r>
    </w:p>
    <w:p>
      <w:r>
        <w:rPr>
          <w:color w:val="555555"/>
          <w:sz w:val="18"/>
        </w:rPr>
        <w:t xml:space="preserve">BSI-Gesetz</w:t>
      </w:r>
    </w:p>
    <w:p>
      <w:r>
        <w:rPr>
          <w:color w:val="555555"/>
          <w:sz w:val="18"/>
        </w:rPr>
        <w:t xml:space="preserve">Historische Fassung: Stand 28.05.2021 bis 07.12.2025. Dies ist nicht die aktuelle Fassung.</w:t>
      </w:r>
    </w:p>
    <w:p>
      <w:r>
        <w:t xml:space="preserve">(1) Ordnungswidrig handelt, wer entgegen § 8a Absatz 3 Satz 1 in Verbindung mit einer Rechtsverordnung nach § 10 Absatz 1 Satz 1 einen Nachweis nicht richtig oder nicht vollständig erbringt.</w:t>
      </w:r>
    </w:p>
    <w:p>
      <w:r>
        <w:t xml:space="preserve">(2) Ordnungswidrig handelt, wer vorsätzlich oder fahrlässig</w:t>
      </w:r>
    </w:p>
    <w:p>
      <w:pPr>
        <w:ind w:left="420"/>
      </w:pPr>
      <w:r>
        <w:t xml:space="preserve">1. einer vollziehbaren Anordnung nach</w:t>
      </w:r>
    </w:p>
    <w:p>
      <w:pPr>
        <w:ind w:left="780"/>
      </w:pPr>
      <w:r>
        <w:t xml:space="preserve">a) § 5b Absatz 6, § 7c Absatz 1 Satz 1, auch in Verbindung mit § 7c Absatz 3, § 7d, oder § 8a Absatz 3 Satz 5,</w:t>
      </w:r>
    </w:p>
    <w:p>
      <w:pPr>
        <w:ind w:left="780"/>
      </w:pPr>
      <w:r>
        <w:t xml:space="preserve">b) § 7a Absatz 2 Satz 1 oder</w:t>
      </w:r>
    </w:p>
    <w:p>
      <w:pPr>
        <w:ind w:left="780"/>
      </w:pPr>
      <w:r>
        <w:t xml:space="preserve">c) § 8b Absatz 6 Satz 1, auch in Verbindung mit Satz 2, oder § 8c Absatz 4 Satz 1</w:t>
      </w:r>
    </w:p>
    <w:p>
      <w:pPr>
        <w:ind w:left="420"/>
      </w:pPr>
      <w:r>
        <w:t xml:space="preserve">zuwiderhandelt,</w:t>
      </w:r>
    </w:p>
    <w:p>
      <w:pPr>
        <w:ind w:left="420"/>
      </w:pPr>
      <w:r>
        <w:t xml:space="preserve">2. entgegen § 8a Absatz 1 Satz 1 in Verbindung mit einer Rechtsverordnung nach § 10 Absatz 1 Satz 1 eine dort genannte Vorkehrung nicht, nicht richtig, nicht vollständig oder nicht rechtzeitig trifft,</w:t>
      </w:r>
    </w:p>
    <w:p>
      <w:pPr>
        <w:ind w:left="420"/>
      </w:pPr>
      <w:r>
        <w:t xml:space="preserve">3. entgegen § 8a Absatz 3 Satz 1 in Verbindung mit einer Rechtsverordnung nach § 10 Absatz 1 Satz 1 einen Nachweis nicht oder nicht rechtzeitig erbringt,</w:t>
      </w:r>
    </w:p>
    <w:p>
      <w:pPr>
        <w:ind w:left="420"/>
      </w:pPr>
      <w:r>
        <w:t xml:space="preserve">4. entgegen § 8a Absatz 4 Satz 2 oder § 8b Absatz 3a das Betreten eines dort genannten Raums nicht gestattet, eine dort genannte Unterlage nicht oder nicht rechtzeitig vorlegt, eine Auskunft nicht, nicht richtig, nicht vollständig oder nicht rechtzeitig erteilt oder Unterstützung nicht oder nicht rechtzeitig gewährt,</w:t>
      </w:r>
    </w:p>
    <w:p>
      <w:pPr>
        <w:ind w:left="420"/>
      </w:pPr>
      <w:r>
        <w:t xml:space="preserve">5. entgegen § 8b Absatz 3 Satz 1 in Verbindung mit einer Rechtsverordnung nach § 10 Absatz 1 Satz 1 oder entgegen § 8f Absatz 5 Satz 1 eine Registrierung nicht oder nicht rechtzeitig vornimmt oder eine dort genannte Stelle nicht oder nicht rechtzeitig benennt,</w:t>
      </w:r>
    </w:p>
    <w:p>
      <w:pPr>
        <w:ind w:left="420"/>
      </w:pPr>
      <w:r>
        <w:t xml:space="preserve">6. entgegen § 8b Absatz 3 Satz 4 nicht sicherstellt, dass er erreichbar ist,</w:t>
      </w:r>
    </w:p>
    <w:p>
      <w:pPr>
        <w:ind w:left="420"/>
      </w:pPr>
      <w:r>
        <w:t xml:space="preserve">7. entgegen § 8b Absatz 4 Satz 1, § 8c Absatz 3 Satz 1 oder § 8f Absatz 7 Satz 1 oder Absatz 8 Satz 1 eine Meldung nicht, nicht richtig, nicht vollständig oder nicht rechtzeitig macht,</w:t>
      </w:r>
    </w:p>
    <w:p>
      <w:pPr>
        <w:ind w:left="420"/>
      </w:pPr>
      <w:r>
        <w:t xml:space="preserve">8. entgegen § 8c Absatz 1 Satz 1 eine dort genannte Maßnahme nicht trifft,</w:t>
      </w:r>
    </w:p>
    <w:p>
      <w:pPr>
        <w:ind w:left="420"/>
      </w:pPr>
      <w:r>
        <w:t xml:space="preserve">9. entgegen § 8f Absatz 1 eine Selbsterklärung nicht, nicht richtig, nicht vollständig oder nicht rechtzeitig vorlegt,</w:t>
      </w:r>
    </w:p>
    <w:p>
      <w:pPr>
        <w:ind w:left="420"/>
      </w:pPr>
      <w:r>
        <w:t xml:space="preserve">10. entgegen § 9a Absatz 2 Satz 2 als Konformitätsbewertungsstelle tätig wird oder</w:t>
      </w:r>
    </w:p>
    <w:p>
      <w:pPr>
        <w:ind w:left="420"/>
      </w:pPr>
      <w:r>
        <w:t xml:space="preserve">11. entgegen § 9c Absatz 4 Satz 1 das IT-Sicherheitskennzeichen verwendet.</w:t>
      </w:r>
    </w:p>
    <w:p>
      <w:r>
        <w:t xml:space="preserve">(3) Ordnungswidrig handelt, wer eine in Absatz 1 bezeichnete Handlung fahrlässig begeht.</w:t>
      </w:r>
    </w:p>
    <w:p>
      <w:r>
        <w:t xml:space="preserve">(4) Ordnungswidrig handelt, wer gegen die Verordnung (EU) 2019/881 des Europäischen Parlaments und des Rates vom 17. April 2019 über die ENISA (Agentur der Europäischen Union für Cybersicherheit) und über die Zertifizierung der Cybersicherheit von Informations- und Kommunikationstechnik und zur Aufhebung der Verordnung (EU) Nr. 526/2013 (Rechtsakt zur Cybersicherheit) (ABl. L 151 vom 7.6.2019, S. 15) verstößt, indem er vorsätzlich oder fahrlässig</w:t>
      </w:r>
    </w:p>
    <w:p>
      <w:pPr>
        <w:ind w:left="420"/>
      </w:pPr>
      <w:r>
        <w:t xml:space="preserve">1. entgegen Artikel 55 Absatz 1 eine dort genannte Angabe nicht, nicht richtig, nicht vollständig oder nicht binnen eines Monats nach Ausstellung zugänglich macht oder</w:t>
      </w:r>
    </w:p>
    <w:p>
      <w:pPr>
        <w:ind w:left="420"/>
      </w:pPr>
      <w:r>
        <w:t xml:space="preserve">2. entgegen Artikel 56 Absatz 8 Satz 1 eine Information nicht, nicht richtig, nicht vollständig oder nicht unverzüglich nach Feststellung einer Sicherheitslücke oder Unregelmäßigkeit gibt.</w:t>
      </w:r>
    </w:p>
    <w:p>
      <w:r>
        <w:t xml:space="preserve">(5) Die Ordnungswidrigkeit kann in den Fällen des Absatzes 2 Nummer 1 Buchstabe a mit einer Geldbuße bis zu zwei Millionen Euro sowie in den Fällen der Absätze 1, 2 Nummer 2 und 3 mit einer Geldbuße bis zu einer Million Euro geahndet werden. Die Ordnungswidrigkeit kann in den Fällen des Absatzes 2 Nummer 1 Buchstabe c, Nummer 5 und 7 bis 11 und des Absatzes 4 mit einer Geldbuße bis zu fünfhunderttausend Euro sowie in den Fällen des Absatzes 2 Nummer 1 Buchstabe b, Nummer 4 und 6 und des Absatzes 3 mit einer Geldbuße bis zu einhunderttausend Euro geahndet werden. In den Fällen des Satzes 1 ist § 30 Absatz 2 Satz 3 des Gesetzes über Ordnungswidrigkeiten anzuwenden.</w:t>
      </w:r>
    </w:p>
    <w:p>
      <w:r>
        <w:t xml:space="preserve">(6) Verwaltungsbehörde im Sinne des § 36 Absatz 1 Nummer 1 des Gesetzes über Ordnungswidrigkeiten ist das Bundesamt.</w:t>
      </w:r>
    </w:p>
    <w:p>
      <w:r>
        <w:rPr>
          <w:color w:val="555555"/>
          <w:sz w:val="17"/>
        </w:rPr>
        <w:t xml:space="preserve">Zitiervorschlag: § 14 BSIG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https://recht.nulegal.eu/gesetze/BSIG%202009/14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