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BSIG 2009 — Einschränkung von Grundrechten</w:t>
      </w:r>
    </w:p>
    <w:p>
      <w:r>
        <w:rPr>
          <w:color w:val="555555"/>
          <w:sz w:val="18"/>
        </w:rPr>
        <w:t xml:space="preserve">BSI-Gesetz</w:t>
      </w:r>
    </w:p>
    <w:p>
      <w:r>
        <w:rPr>
          <w:color w:val="555555"/>
          <w:sz w:val="18"/>
        </w:rPr>
        <w:t xml:space="preserve">Historische Fassung: Stand 28.05.2021 bis 07.12.2025. Dies ist nicht die aktuelle Fassung.</w:t>
      </w:r>
    </w:p>
    <w:p>
      <w:r>
        <w:t xml:space="preserve">Das Fernmeldegeheimnis (Artikel 10 des Grundgesetzes) wird durch die §§ 4a, 5 bis 5c, 7b und 7c eingeschränkt.</w:t>
      </w:r>
    </w:p>
    <w:p>
      <w:r>
        <w:rPr>
          <w:color w:val="555555"/>
          <w:sz w:val="17"/>
        </w:rPr>
        <w:t xml:space="preserve">Zitiervorschlag: § 11 BSIG 2009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https://recht.nulegal.eu/gesetze/BSIG%202009/11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