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6 BSI-KritisV — (zu § 1 Absatz 1 Nummer 2 und 3, § 7 Absatz 7 Nummer 1 und 2) Anlagenkategorien und Schwellenwerte im Sektor Finanzwesen</w:t>
      </w:r>
    </w:p>
    <w:p>
      <w:r>
        <w:rPr>
          <w:color w:val="555555"/>
          <w:sz w:val="18"/>
        </w:rPr>
        <w:t xml:space="preserve">BSI-Kritisverordnung</w:t>
      </w:r>
    </w:p>
    <w:p>
      <w:r>
        <w:rPr>
          <w:color w:val="555555"/>
          <w:sz w:val="18"/>
        </w:rPr>
        <w:t xml:space="preserve">Stand: 07.12.2025 (konsolidierte Textfassung, kein amtliches Inkrafttretensdatum)</w:t>
      </w:r>
    </w:p>
    <w:p>
      <w:r>
        <w:t xml:space="preserve">(Fundstelle: BGBl. I 2017, 1913 — 1918 bzgl. der einzelnen Änderungen vgl. Fußnote)</w:t>
      </w:r>
    </w:p>
    <w:p>
      <w:r>
        <w:t xml:space="preserve">Teil 1 Grundsätze und Fristen</w:t>
      </w:r>
    </w:p>
    <w:p>
      <w:pPr>
        <w:ind w:left="420"/>
      </w:pPr>
      <w:r>
        <w:t xml:space="preserve">1. Im Sinne von Anhang 6 ist oder sind</w:t>
      </w:r>
    </w:p>
    <w:p>
      <w:pPr>
        <w:ind w:left="780"/>
      </w:pPr>
      <w:r>
        <w:t xml:space="preserve">1.1 Autorisierungssystemein System, mit dem ein angefragter Transaktionsbetrag bei Transaktionen aus Geldautomatensystemen oder aus dem kartengestützten Zahlungsverkehr nach Prüfung der Kartendaten durch das kontoführende Institut oder den Zahlungsdienstleister genehmigt oder abgelehnt wird.</w:t>
      </w:r>
    </w:p>
    <w:p>
      <w:pPr>
        <w:ind w:left="780"/>
      </w:pPr>
      <w:r>
        <w:t xml:space="preserve">1.2 System zur Anbindung an ein Autorisierungssystem aus Sicht des Geldautomatenbetreibersein System, das der Anbindung des Geldautomatenbetreibers an ein Autorisierungssystem des kontoführenden Instituts dient.</w:t>
      </w:r>
    </w:p>
    <w:p>
      <w:pPr>
        <w:ind w:left="780"/>
      </w:pPr>
      <w:r>
        <w:t xml:space="preserve">1.3 System zur Aufbereitung durch den Geldautomatenbetreiberein System eines Geldautomatenbetreibers, welches Nachrichten oder Transaktionen aus Geldautomatensystemen verarbeitet, um die Transaktion in den Zahlungsverkehr einzubringen.</w:t>
      </w:r>
    </w:p>
    <w:p>
      <w:pPr>
        <w:ind w:left="780"/>
      </w:pPr>
      <w:r>
        <w:t xml:space="preserve">1.4 System zur Anbindung an ein Interbanken-Zahlungsverkehrssystemein System, das den Zahlungsdienstleister an die Interbanken-Zahlungsverkehrssysteme anbindet.</w:t>
      </w:r>
    </w:p>
    <w:p>
      <w:pPr>
        <w:ind w:left="780"/>
      </w:pPr>
      <w:r>
        <w:t xml:space="preserve">1.5 Clearing-Systemein System, das im Interbankenverkehr die Transaktionsdaten (Clearing-Daten) an das kontoführende Institut weiterleitet.</w:t>
      </w:r>
    </w:p>
    <w:p>
      <w:pPr>
        <w:ind w:left="780"/>
      </w:pPr>
      <w:r>
        <w:t xml:space="preserve">1.6 Settlement-Systemein System zur Verrechnung von Beträgen zwischen den partizipierenden Instituten.</w:t>
      </w:r>
    </w:p>
    <w:p>
      <w:pPr>
        <w:ind w:left="780"/>
      </w:pPr>
      <w:r>
        <w:t xml:space="preserve">1.7 Kontoführungssystemein System des Zahlungsdienstleisters des Zahlers oder des Zahlungsdienstleisters des Zahlungsempfängers zur elektronischen Führung und Verwaltung der Konten.</w:t>
      </w:r>
    </w:p>
    <w:p>
      <w:pPr>
        <w:ind w:left="780"/>
      </w:pPr>
      <w:r>
        <w:t xml:space="preserve">1.8 Cash CenterEinrichtungen von Wertdienstleistern, in denen Bargeld geprüft, gezählt, sortiert, gelagert oder wieder ausgegeben wird.</w:t>
      </w:r>
    </w:p>
    <w:p>
      <w:pPr>
        <w:ind w:left="780"/>
      </w:pPr>
      <w:r>
        <w:t xml:space="preserve">1.9 IT-System für das Cash Managementein System des Wertdienstleisters zur Berichterstattung, zur Bestellung von Bargeld und zum Cash Management des Wertdienstleisters.</w:t>
      </w:r>
    </w:p>
    <w:p>
      <w:pPr>
        <w:ind w:left="780"/>
      </w:pPr>
      <w:r>
        <w:t xml:space="preserve">1.10 System zur Anbindung an ein Autorisierungssystem aus Sicht des Terminalbetreibersein System, das der Anbindung des Terminalbetreibers (zum Beispiel des Netzbetreibers) an ein Autorisierungssystem dient oder Transaktionen zum zuständigen Autorisierungssystem weiterleitet.</w:t>
      </w:r>
    </w:p>
    <w:p>
      <w:pPr>
        <w:ind w:left="780"/>
      </w:pPr>
      <w:r>
        <w:t xml:space="preserve">1.11 System zur Aufbereitung durch den POS-Terminalbetreiberein System eines Netzbetreibers oder POS-Terminalbetreibers, welches Nachrichten oder Transaktionen von POS-Terminals verarbeitet, um Transaktionen in den Zahlungsverkehr einzubringen.</w:t>
      </w:r>
    </w:p>
    <w:p>
      <w:pPr>
        <w:ind w:left="780"/>
      </w:pPr>
      <w:r>
        <w:t xml:space="preserve">1.12 System zur Annahme der POS-Transaktionsdaten beim Zahlungsdienstleister des Zahlungsempfängersein System, das Transaktionen von einem Acquirer annimmt.</w:t>
      </w:r>
    </w:p>
    <w:p>
      <w:pPr>
        <w:ind w:left="780"/>
      </w:pPr>
      <w:r>
        <w:t xml:space="preserve">1.13 System zur Annahme einer Überweisung oder Lastschriftein System, mit dem Überweisungsaufträge oder Aufträge zum Einzug von Lastschriften durch den Zahlungsdienstleister des Zahlers oder des Zahlungsempfängers als kontoführendes Institut angenommen und verarbeitet werden. Hiervon umfasst sind auch Überweisungsaufträge, die über einen Zahlungsauslösedienstleister im Sinne von Artikel 4 Nummer 18 der Richtlinie (EU) 2015/2366 des Europäischen Parlaments und des Rates vom 25. November 2015 eingereicht werden.</w:t>
      </w:r>
    </w:p>
    <w:p>
      <w:pPr>
        <w:ind w:left="780"/>
      </w:pPr>
      <w:r>
        <w:t xml:space="preserve">1.14 System einer Clearingstelle oder einer zentralen Gegenpartei zur Verrechnung von Wertpapier- und Derivatgeschäftenein System der Clearingstelle oder einer zentralen Gegenpartei gemäß § 1 Absatz 31 des Kreditwesengesetzes.</w:t>
      </w:r>
    </w:p>
    <w:p>
      <w:pPr>
        <w:ind w:left="780"/>
      </w:pPr>
      <w:r>
        <w:t xml:space="preserve">1.15 System zur Anbindung für die Verrechnung und Verbuchung von Wertpapier- und Derivatgeschäftenein System, das der Anbindung eines Teilnehmers oder einer Handelsplattform zu einer Clearingstelle oder zentralen Gegenpartei sowie von einer Clearingstelle oder zentralen Gegenpartei zu einer Verbuchungsstelle dient.</w:t>
      </w:r>
    </w:p>
    <w:p>
      <w:pPr>
        <w:ind w:left="780"/>
      </w:pPr>
      <w:r>
        <w:t xml:space="preserve">1.16 Wertpapier-Settlement-Systemein Wertpapierliefer- und -abrechnungssystem gemäß Artikel 2 Absatz 1 Nummer 10 der Verordnung (EU) Nr. 909/2014.</w:t>
      </w:r>
    </w:p>
    <w:p>
      <w:pPr>
        <w:ind w:left="780"/>
      </w:pPr>
      <w:r>
        <w:t xml:space="preserve">1.17 Depotführungssystem eines Finanzmarktinfrastrukturbetreibersein System eines Finanzmarktinfrastrukturbetreibers, das zur Prüfung des Depotbestands und für Transaktionen von Depots genutzt wird.</w:t>
      </w:r>
    </w:p>
    <w:p>
      <w:pPr>
        <w:ind w:left="780"/>
      </w:pPr>
      <w:r>
        <w:t xml:space="preserve">1.18 System eines Zentralverwahrersein System eines Zentralverwahrers gemäß Artikel 2 Absatz 1 Nummer 1 der Verordnung (EU) Nr. 909/2014.</w:t>
      </w:r>
    </w:p>
    <w:p>
      <w:pPr>
        <w:ind w:left="780"/>
      </w:pPr>
      <w:r>
        <w:t xml:space="preserve">1.19 System zur Aufbereitung von Zahlungsanweisungenein System eines Finanzmarktbetreibers, welches Wertpapier- oder Derivattransaktionen mittelbar oder unmittelbar verarbeitet, um die Transaktionen in den Zahlungsverkehr einzubringen.</w:t>
      </w:r>
    </w:p>
    <w:p>
      <w:pPr>
        <w:ind w:left="780"/>
      </w:pPr>
      <w:r>
        <w:t xml:space="preserve">1.20 System für das Erzeugen und Weiterleiten von Aufträgen zum Handel von Wertpapieren und Derivaten an einen Handelsplatzein System, in dem Kundenaufträge zum Handel von Wertpapieren und Derivaten entgegengenommen, aufbereitet und an Handelsplätze weitergeleitet werden.</w:t>
      </w:r>
    </w:p>
    <w:p>
      <w:pPr>
        <w:ind w:left="780"/>
      </w:pPr>
      <w:r>
        <w:t xml:space="preserve">1.21 System eines HandelsplatzesSystem eines Handelsplatzes im Sinne des Artikels 4 Nummer 24 der Richtlinie 2014/65/EU des Europäischen Parlaments und des Rates vom 15. Mai 2014.</w:t>
      </w:r>
    </w:p>
    <w:p>
      <w:pPr>
        <w:ind w:left="780"/>
      </w:pPr>
      <w:r>
        <w:t xml:space="preserve">1.22 Sonstiges Depotführungssystemein System, das zur Prüfung des Depotbestands und für Transaktionen von Depots genutzt wird und nicht zur unmittelbaren Infrastruktur eines Zentralverwahrers in der Rolle eines Finanzmarktinfrastrukturbetreibers gehört.</w:t>
      </w:r>
    </w:p>
    <w:p>
      <w:pPr>
        <w:ind w:left="780"/>
      </w:pPr>
      <w:r>
        <w:t xml:space="preserve">1.23 (weggefallen)</w:t>
      </w:r>
    </w:p>
    <w:p>
      <w:pPr>
        <w:ind w:left="780"/>
      </w:pPr>
      <w:r>
        <w:t xml:space="preserve">1.24 (weggefallen)</w:t>
      </w:r>
    </w:p>
    <w:p>
      <w:pPr>
        <w:ind w:left="780"/>
      </w:pPr>
      <w:r>
        <w:t xml:space="preserve">1.25 (weggefallen)</w:t>
      </w:r>
    </w:p>
    <w:p>
      <w:pPr>
        <w:ind w:left="780"/>
      </w:pPr>
      <w:r>
        <w:t xml:space="preserve">1.26 (weggefallen)</w:t>
      </w:r>
    </w:p>
    <w:p>
      <w:pPr>
        <w:ind w:left="780"/>
      </w:pPr>
      <w:r>
        <w:t xml:space="preserve">1.27 (weggefallen)</w:t>
      </w:r>
    </w:p>
    <w:p>
      <w:pPr>
        <w:ind w:left="420"/>
      </w:pPr>
      <w:r>
        <w:t xml:space="preserve">2. Eine Anlage, die einer in Teil 3 Spalte B genannten Anlagenkategorie zuzuordnen ist, gilt ab dem 1. April des Kalenderjahres, das auf das Kalenderjahr folgt, in dem ihr Versorgungsgrad den in Teil 3 Spalte D genannten Schwellenwert erstmals erreicht oder überschreitet, als kritische Anlage. Nicht mehr als kritische Anlage gilt eine solche Anlage ab dem 1. April des Kalenderjahres, das auf das Kalenderjahr folgt, in dem ihr Versorgungsgrad den genannten Schwellenwert unterschreitet.</w:t>
      </w:r>
    </w:p>
    <w:p>
      <w:pPr>
        <w:ind w:left="420"/>
      </w:pPr>
      <w:r>
        <w:t xml:space="preserve">3. Abweichend von Nummer 1 gilt eine Anlage, die den Anlagenkategorien des Teils 3 Spalte A Nummer 5.1.3, 5.1.7 oder 5.1.11 zuzuordnen ist, ab dem 1. April des Kalenderjahres, das auf die drei Kalenderjahre folgt, deren durchschnittlicher Versorgungsgrad den in Teil 3 Spalte D genannten Schwellenwert erstmals erreicht oder überschreitet, als kritische Anlage.</w:t>
      </w:r>
    </w:p>
    <w:p>
      <w:pPr>
        <w:ind w:left="420"/>
      </w:pPr>
      <w:r>
        <w:t xml:space="preserve">4. Der Betreiber hat den Versorgungsgrad seiner Anlage für das zurückliegende Kalenderjahr jeweils bis zum 31. März des Folgejahres zu ermitteln.</w:t>
      </w:r>
    </w:p>
    <w:p>
      <w:pPr>
        <w:ind w:left="420"/>
      </w:pPr>
      <w:r>
        <w:t xml:space="preserve">5. Bei der Ermittlung des Versorgungsgrades einer Anlage, die den Anlagenkategorien des Teils 3 Spalte A Nummer 5.1.1, 5.1.4 oder 5.1.8 zuzuordnen ist, sind nur ablaufende Verträge mit Auszahlung der Versicherungsleistung zu berücksichtigen. Ungeachtet der Auszahlungsweise ist jeder Leistungsfall nur einmalig, bei wiederkehrenden Auszahlungen nur bei der erstmaligen Leistungsbearbeitung zu berücksichtigen.</w:t>
      </w:r>
    </w:p>
    <w:p>
      <w:pPr>
        <w:ind w:left="420"/>
      </w:pPr>
      <w:r>
        <w:t xml:space="preserve">6. Stehen mehrere Anlagen derselben Art in einem engen betrieblichen Zusammenhang (gemeinsame Anlage) und erreichen oder überschreiten die in Teil 3 Spalte D genannten Schwellenwerte zusammen, gilt die gemeinsame Anlage als kritische Anlage. Ein enger betrieblicher Zusammenhang ist gegeben, wenn die Anlagen</w:t>
      </w:r>
    </w:p>
    <w:p>
      <w:pPr>
        <w:ind w:left="780"/>
      </w:pPr>
      <w:r>
        <w:t xml:space="preserve">a) mit gemeinsamen Betriebseinrichtungen verbunden sind,</w:t>
      </w:r>
    </w:p>
    <w:p>
      <w:pPr>
        <w:ind w:left="780"/>
      </w:pPr>
      <w:r>
        <w:t xml:space="preserve">b) einem identischen technischen Zweck dienen und</w:t>
      </w:r>
    </w:p>
    <w:p>
      <w:pPr>
        <w:ind w:left="780"/>
      </w:pPr>
      <w:r>
        <w:t xml:space="preserve">c) unter gemeinsamer Leitung stehen.</w:t>
      </w:r>
    </w:p>
    <w:p>
      <w:r>
        <w:t xml:space="preserve">Teil 2 Berechnungsformeln zur Ermittlung der Schwellenwerte</w:t>
      </w:r>
    </w:p>
    <w:p>
      <w:pPr>
        <w:ind w:left="420"/>
      </w:pPr>
      <w:r>
        <w:t xml:space="preserve">7. Der für die Anlagenkategorien des Teils 3 Nummer 1.1.1 bis 1.2.1 und 1.3.1 genannte Schwellenwert ist unter Annahme von 30 Transaktionen mit im Inland ausgegebenen Karten an Terminals (Geldautomaten) in- und ausländischer Zahlungsdienstleister pro versorgter Person pro Jahr und eines Regelschwellenwertes von 500 000 versorgten Personen wie folgt berechnet: 15 000 000 Transaktionen/Jahr = 30 Transaktionen/Jahr x 500 000</w:t>
      </w:r>
    </w:p>
    <w:p>
      <w:pPr>
        <w:ind w:left="420"/>
      </w:pPr>
      <w:r>
        <w:t xml:space="preserve">8. Der für die Anlagenkategorie des Teils 3 Nummer 1.4 genannte Schwellenwert ist unter der Annahme von 187 im Cash-Center bearbeiteten Banknoten zur Versorgung einer Person pro Jahr und eines Regelschwellenwertes von 500 000 versorgten Personen wie folgt berechnet: 93 500 000 Banknoten/Jahr = 187 Banknoten/Jahr x 500 000</w:t>
      </w:r>
    </w:p>
    <w:p>
      <w:pPr>
        <w:ind w:left="420"/>
      </w:pPr>
      <w:r>
        <w:t xml:space="preserve">9. Der für die Anlagenkategorien des Teils 3 Nummer 1.2.2 bis 1.2.4 und 2.2.3 bis 2.2.5 genannte Schwellenwert ist unter Annahme von 36 Transaktionen als Mittelwert mit im Inland ausgegebenen Karten an POS-Terminals und Geldautomaten in- und ausländischer Zahlungsdienstleister pro versorgter Person pro Jahr und eines Regelschwellenwertes von 500 000 versorgten Personen wie folgt berechnet: 18 000 000 Transaktionen/Jahr = 36 Transaktionen/Jahr x 500 000</w:t>
      </w:r>
    </w:p>
    <w:p>
      <w:pPr>
        <w:ind w:left="420"/>
      </w:pPr>
      <w:r>
        <w:t xml:space="preserve">10. Der für die Anlagenkategorien des Teils 3 Nummer 2.1.1 bis 2.2.2 und 2.3.1 genannte Schwellenwert ist unter Annahme von 43 Transaktionen mit im Inland ausgegebenen Karten an Terminals (POS) in- und ausländischer Zahlungsdienstleister und eines Regelschwellenwertes von 500 000 versorgten Personen wie folgt berechnet: 21 500 000 Transaktionen/Jahr = 43 Transaktionen/Jahr x 500 000</w:t>
      </w:r>
    </w:p>
    <w:p>
      <w:pPr>
        <w:ind w:left="420"/>
      </w:pPr>
      <w:r>
        <w:t xml:space="preserve">11. Der für die Anlagenkategorien des Teils 3 Nummer 3 genannte Schwellenwert ist unter Annahme von 200 Transaktionen bei Überweisungen und Lastschriften pro versorgter Person und pro Jahr und eines Regelschwellenwertes von 500 000 versorgten Personen wie folgt berechnet: 100 000 000 Transaktionen/Jahr = 200 Transaktionen/Jahr x 500 000</w:t>
      </w:r>
    </w:p>
    <w:p>
      <w:pPr>
        <w:ind w:left="420"/>
      </w:pPr>
      <w:r>
        <w:t xml:space="preserve">12. Der für die Anlagenkategorien des Teils 3 Nummer 4.1.1, 4.1.2, 4.2.1, 4.2.2, 4.2.3, 4.3.1 und 4.5.1 genannte Schwellenwert ist unter Annahme von 1,7 Abwicklungstransaktionen im In- und Ausland pro versorgter Person pro Jahr und eines Regelschwellenwertes von 500 000 versorgten Personen wie folgt berechnet:</w:t>
      </w:r>
    </w:p>
    <w:p>
      <w:r>
        <w:rPr>
          <w:rFonts w:ascii="Courier New" w:hAnsi="Courier New"/>
          <w:sz w:val="17"/>
        </w:rPr>
        <w:t xml:space="preserve">850 000 Transaktionen/Jahr = 1,7 Transaktionen/Jahr x 500 000</w:t>
      </w:r>
    </w:p>
    <w:p>
      <w:pPr>
        <w:ind w:left="420"/>
      </w:pPr>
      <w:r>
        <w:t xml:space="preserve">13. Der für die Anlagenkategorien des Teils 3 Nummer 4.4.1 und 4.6.1 genannte Schwellenwert ist unter Annahme von 13,5 Transaktionen pro versorgter Person pro Jahr und eines Regelschwellenwertes von 500 000 Personen wie folgt berechnet:</w:t>
      </w:r>
    </w:p>
    <w:p>
      <w:r>
        <w:rPr>
          <w:rFonts w:ascii="Courier New" w:hAnsi="Courier New"/>
          <w:sz w:val="17"/>
        </w:rPr>
        <w:t xml:space="preserve">6 750 000 Transaktionen/Jahr = 13,5 Transaktionen/Jahr x 500 000</w:t>
      </w:r>
    </w:p>
    <w:p>
      <w:pPr>
        <w:ind w:left="420"/>
      </w:pPr>
      <w:r>
        <w:t xml:space="preserve">14. Der für die Anlagenkategorien des Teils 3 Nummer 5.1.1, 5.1.2 und 5.1.4 genannte Schwellenwert für die private Krankenversicherung ist unter Annahme von vier Leistungsfällen pro versorgter Person pro Jahr und eines Regelschwellenwertes von 500 000 versorgten Personen wie folgt berechnet:</w:t>
      </w:r>
    </w:p>
    <w:p>
      <w:r>
        <w:rPr>
          <w:rFonts w:ascii="Courier New" w:hAnsi="Courier New"/>
          <w:sz w:val="17"/>
        </w:rPr>
        <w:t xml:space="preserve">2 000 000 Leistungsfälle/Jahr = 4 Leistungsfälle/Jahr x 500 000</w:t>
      </w:r>
    </w:p>
    <w:p>
      <w:r>
        <w:t xml:space="preserve">Teil 3 Anlagenkategorien und Schwellenwerte</w:t>
      </w:r>
    </w:p>
    <w:p>
      <w:r>
        <w:rPr>
          <w:rFonts w:ascii="Courier New" w:hAnsi="Courier New"/>
          <w:sz w:val="17"/>
        </w:rPr>
        <w:t xml:space="preserve">Spalte A    Spalte B    Spalte C    Spalte D</w:t>
      </w:r>
    </w:p>
    <w:p>
      <w:r>
        <w:rPr>
          <w:rFonts w:ascii="Courier New" w:hAnsi="Courier New"/>
          <w:sz w:val="17"/>
        </w:rPr>
        <w:t xml:space="preserve">Nr.    Anlagenkategorie    Bemessungskriterium    Schwellenwert</w:t>
      </w:r>
    </w:p>
    <w:p>
      <w:r>
        <w:rPr>
          <w:rFonts w:ascii="Courier New" w:hAnsi="Courier New"/>
          <w:sz w:val="17"/>
        </w:rPr>
        <w:t xml:space="preserve">1    Bargeldversorgung</w:t>
      </w:r>
    </w:p>
    <w:p>
      <w:r>
        <w:rPr>
          <w:rFonts w:ascii="Courier New" w:hAnsi="Courier New"/>
          <w:sz w:val="17"/>
        </w:rPr>
        <w:t xml:space="preserve">1.1    Autorisierung einer Abhebung</w:t>
      </w:r>
    </w:p>
    <w:p>
      <w:r>
        <w:rPr>
          <w:rFonts w:ascii="Courier New" w:hAnsi="Courier New"/>
          <w:sz w:val="17"/>
        </w:rPr>
        <w:t xml:space="preserve">1.1.1    Autorisierungssystem    Anzahl der Transaktionen/Jahr    15 000 000</w:t>
      </w:r>
    </w:p>
    <w:p>
      <w:r>
        <w:rPr>
          <w:rFonts w:ascii="Courier New" w:hAnsi="Courier New"/>
          <w:sz w:val="17"/>
        </w:rPr>
        <w:t xml:space="preserve">1.1.2    System zur Anbindung an ein Autorisierungssystem aus Sicht des Geldautomatenbetreibers    Anzahl der Transaktionen/Jahr    15 000 000</w:t>
      </w:r>
    </w:p>
    <w:p>
      <w:r>
        <w:rPr>
          <w:rFonts w:ascii="Courier New" w:hAnsi="Courier New"/>
          <w:sz w:val="17"/>
        </w:rPr>
        <w:t xml:space="preserve">1.2    Einbringen in den Zahlungsverkehr</w:t>
      </w:r>
    </w:p>
    <w:p>
      <w:r>
        <w:rPr>
          <w:rFonts w:ascii="Courier New" w:hAnsi="Courier New"/>
          <w:sz w:val="17"/>
        </w:rPr>
        <w:t xml:space="preserve">1.2.1    System zur Aufbereitung durch den Geldautomatenbetreiber    Anzahl der Transaktionen/Jahr    15 000 000</w:t>
      </w:r>
    </w:p>
    <w:p>
      <w:r>
        <w:rPr>
          <w:rFonts w:ascii="Courier New" w:hAnsi="Courier New"/>
          <w:sz w:val="17"/>
        </w:rPr>
        <w:t xml:space="preserve">1.2.2    System zur Anbindung an ein Interbanken-Zahlungsverkehrssystem (Clearing und Settlement)    Anzahl der Transaktionen/Jahr    18 000 000</w:t>
      </w:r>
    </w:p>
    <w:p>
      <w:r>
        <w:rPr>
          <w:rFonts w:ascii="Courier New" w:hAnsi="Courier New"/>
          <w:sz w:val="17"/>
        </w:rPr>
        <w:t xml:space="preserve">1.2.3    Clearing-System    Anzahl der Transaktionen/Jahr    18 000 000</w:t>
      </w:r>
    </w:p>
    <w:p>
      <w:r>
        <w:rPr>
          <w:rFonts w:ascii="Courier New" w:hAnsi="Courier New"/>
          <w:sz w:val="17"/>
        </w:rPr>
        <w:t xml:space="preserve">1.2.4    Settlement-System    Anzahl der Transaktionen des zugehörigen Clearing-Systems/Jahr    18 000 000</w:t>
      </w:r>
    </w:p>
    <w:p>
      <w:r>
        <w:rPr>
          <w:rFonts w:ascii="Courier New" w:hAnsi="Courier New"/>
          <w:sz w:val="17"/>
        </w:rPr>
        <w:t xml:space="preserve">1.3    Belastung Kundenkonto</w:t>
      </w:r>
    </w:p>
    <w:p>
      <w:r>
        <w:rPr>
          <w:rFonts w:ascii="Courier New" w:hAnsi="Courier New"/>
          <w:sz w:val="17"/>
        </w:rPr>
        <w:t xml:space="preserve">1.3.1    Kontoführungssystem    Anzahl der in diesem System bei der Erbringung einer kritischen Dienstleistung verbuchten Transaktionen    15 000 000</w:t>
      </w:r>
    </w:p>
    <w:p>
      <w:r>
        <w:rPr>
          <w:rFonts w:ascii="Courier New" w:hAnsi="Courier New"/>
          <w:sz w:val="17"/>
        </w:rPr>
        <w:t xml:space="preserve">1.4    Bargeldlogistik</w:t>
      </w:r>
    </w:p>
    <w:p>
      <w:r>
        <w:rPr>
          <w:rFonts w:ascii="Courier New" w:hAnsi="Courier New"/>
          <w:sz w:val="17"/>
        </w:rPr>
        <w:t xml:space="preserve">1.4.1    Cash Center    Anzahl bearbeiteter Banknoten/Jahr    93 500 000</w:t>
      </w:r>
    </w:p>
    <w:p>
      <w:r>
        <w:rPr>
          <w:rFonts w:ascii="Courier New" w:hAnsi="Courier New"/>
          <w:sz w:val="17"/>
        </w:rPr>
        <w:t xml:space="preserve">1.4.2    IT-System für das Cash Management    Anzahl bearbeiteter Banknoten/Jahr    93 500 000</w:t>
      </w:r>
    </w:p>
    <w:p>
      <w:r>
        <w:rPr>
          <w:rFonts w:ascii="Courier New" w:hAnsi="Courier New"/>
          <w:sz w:val="17"/>
        </w:rPr>
        <w:t xml:space="preserve">2    Kartengestützter Zahlungsverkehr</w:t>
      </w:r>
    </w:p>
    <w:p>
      <w:r>
        <w:rPr>
          <w:rFonts w:ascii="Courier New" w:hAnsi="Courier New"/>
          <w:sz w:val="17"/>
        </w:rPr>
        <w:t xml:space="preserve">2.1    Autorisierung</w:t>
      </w:r>
    </w:p>
    <w:p>
      <w:r>
        <w:rPr>
          <w:rFonts w:ascii="Courier New" w:hAnsi="Courier New"/>
          <w:sz w:val="17"/>
        </w:rPr>
        <w:t xml:space="preserve">2.1.1    Autorisierungssystem    Anzahl der in diesem System bei der Erbringung einer kritischen Dienstleistung autorisierten Transaktionen    21 500 000</w:t>
      </w:r>
    </w:p>
    <w:p>
      <w:r>
        <w:rPr>
          <w:rFonts w:ascii="Courier New" w:hAnsi="Courier New"/>
          <w:sz w:val="17"/>
        </w:rPr>
        <w:t xml:space="preserve">2.1.2    System zur Anbindung an ein Autorisierungssystem aus Sicht des Terminalbetreibers    Anzahl der in diesem System bei der Erbringung einer kritischen Dienstleistung autorisierten Transaktionen    21 500 000</w:t>
      </w:r>
    </w:p>
    <w:p>
      <w:r>
        <w:rPr>
          <w:rFonts w:ascii="Courier New" w:hAnsi="Courier New"/>
          <w:sz w:val="17"/>
        </w:rPr>
        <w:t xml:space="preserve">2.2    Einbringen in den Zahlungsverkehr</w:t>
      </w:r>
    </w:p>
    <w:p>
      <w:r>
        <w:rPr>
          <w:rFonts w:ascii="Courier New" w:hAnsi="Courier New"/>
          <w:sz w:val="17"/>
        </w:rPr>
        <w:t xml:space="preserve">2.2.1    System zur Aufbereitung durch den POS-Terminalbetreiber    Anzahl der Transaktionen/Jahr    21 500 000</w:t>
      </w:r>
    </w:p>
    <w:p>
      <w:r>
        <w:rPr>
          <w:rFonts w:ascii="Courier New" w:hAnsi="Courier New"/>
          <w:sz w:val="17"/>
        </w:rPr>
        <w:t xml:space="preserve">2.2.2    System zur Annahme der POS-Transaktionsdaten beim Zahlungsdienstleister des Zahlungsempfängers    Anzahl der Transaktionen/Jahr    21 500 000</w:t>
      </w:r>
    </w:p>
    <w:p>
      <w:r>
        <w:rPr>
          <w:rFonts w:ascii="Courier New" w:hAnsi="Courier New"/>
          <w:sz w:val="17"/>
        </w:rPr>
        <w:t xml:space="preserve">2.2.3    System zur Anbindung an ein Interbanken-Zahlungsverkehrssystem (Clearing und Settlement)    Anzahl der Transaktionen/Jahr    18 000 000</w:t>
      </w:r>
    </w:p>
    <w:p>
      <w:r>
        <w:rPr>
          <w:rFonts w:ascii="Courier New" w:hAnsi="Courier New"/>
          <w:sz w:val="17"/>
        </w:rPr>
        <w:t xml:space="preserve">2.2.4    Clearing-System    Anzahl der Transaktionen/Jahr    18 000 000</w:t>
      </w:r>
    </w:p>
    <w:p>
      <w:r>
        <w:rPr>
          <w:rFonts w:ascii="Courier New" w:hAnsi="Courier New"/>
          <w:sz w:val="17"/>
        </w:rPr>
        <w:t xml:space="preserve">2.2.5    Settlement-System    Anzahl der Transaktionen des zugehörigen Clearing-Systems/Jahr    18 000 000</w:t>
      </w:r>
    </w:p>
    <w:p>
      <w:r>
        <w:rPr>
          <w:rFonts w:ascii="Courier New" w:hAnsi="Courier New"/>
          <w:sz w:val="17"/>
        </w:rPr>
        <w:t xml:space="preserve">2.3    Belastung auf dem Konto des Zahlers und Gutschrift auf dem Konto des Zahlungsempfängers</w:t>
      </w:r>
    </w:p>
    <w:p>
      <w:r>
        <w:rPr>
          <w:rFonts w:ascii="Courier New" w:hAnsi="Courier New"/>
          <w:sz w:val="17"/>
        </w:rPr>
        <w:t xml:space="preserve">2.3.1    Kontoführungssystem    Anzahl der in diesem System bei der Erbringung der jeweiligen kritischen Dienstleistung verbuchten Transaktionen    21 500 000</w:t>
      </w:r>
    </w:p>
    <w:p>
      <w:r>
        <w:rPr>
          <w:rFonts w:ascii="Courier New" w:hAnsi="Courier New"/>
          <w:sz w:val="17"/>
        </w:rPr>
        <w:t xml:space="preserve">3    Konventioneller Zahlungsverkehr</w:t>
      </w:r>
    </w:p>
    <w:p>
      <w:r>
        <w:rPr>
          <w:rFonts w:ascii="Courier New" w:hAnsi="Courier New"/>
          <w:sz w:val="17"/>
        </w:rPr>
        <w:t xml:space="preserve">3.1    Annahme einer Überweisung oder Lastschrift</w:t>
      </w:r>
    </w:p>
    <w:p>
      <w:r>
        <w:rPr>
          <w:rFonts w:ascii="Courier New" w:hAnsi="Courier New"/>
          <w:sz w:val="17"/>
        </w:rPr>
        <w:t xml:space="preserve">3.1.1    System zur Annahme einer Überweisung oder Lastschrift    Anzahl der Transaktionen/Jahr    100 000 000</w:t>
      </w:r>
    </w:p>
    <w:p>
      <w:r>
        <w:rPr>
          <w:rFonts w:ascii="Courier New" w:hAnsi="Courier New"/>
          <w:sz w:val="17"/>
        </w:rPr>
        <w:t xml:space="preserve">3.2    Einbringen in den Zahlungsverkehr</w:t>
      </w:r>
    </w:p>
    <w:p>
      <w:r>
        <w:rPr>
          <w:rFonts w:ascii="Courier New" w:hAnsi="Courier New"/>
          <w:sz w:val="17"/>
        </w:rPr>
        <w:t xml:space="preserve">3.2.1    System zur Anbindung an ein Interbanken-Zahlungsverkehrssystem (Clearing und Settlement)    Anzahl der Transaktionen/Jahr    100 000 000</w:t>
      </w:r>
    </w:p>
    <w:p>
      <w:r>
        <w:rPr>
          <w:rFonts w:ascii="Courier New" w:hAnsi="Courier New"/>
          <w:sz w:val="17"/>
        </w:rPr>
        <w:t xml:space="preserve">3.2.2    Clearing-System    Anzahl der Transaktionen/Jahr    100 000 000</w:t>
      </w:r>
    </w:p>
    <w:p>
      <w:r>
        <w:rPr>
          <w:rFonts w:ascii="Courier New" w:hAnsi="Courier New"/>
          <w:sz w:val="17"/>
        </w:rPr>
        <w:t xml:space="preserve">3.2.3    Settlement-System    Anzahl der Transaktionen des zugehörigen Clearing-Systems/Jahr    100 000 000</w:t>
      </w:r>
    </w:p>
    <w:p>
      <w:r>
        <w:rPr>
          <w:rFonts w:ascii="Courier New" w:hAnsi="Courier New"/>
          <w:sz w:val="17"/>
        </w:rPr>
        <w:t xml:space="preserve">3.3    Belastung und Gutschrift auf Kundenkonten</w:t>
      </w:r>
    </w:p>
    <w:p>
      <w:r>
        <w:rPr>
          <w:rFonts w:ascii="Courier New" w:hAnsi="Courier New"/>
          <w:sz w:val="17"/>
        </w:rPr>
        <w:t xml:space="preserve">3.3.1    Kontoführungssystem    Anzahl der Transaktionen/Jahr    100 000 000</w:t>
      </w:r>
    </w:p>
    <w:p>
      <w:r>
        <w:rPr>
          <w:rFonts w:ascii="Courier New" w:hAnsi="Courier New"/>
          <w:sz w:val="17"/>
        </w:rPr>
        <w:t xml:space="preserve">4    Handel, Verrechnung und Abwicklung von Wertpapier- und Derivatgeschäften</w:t>
      </w:r>
    </w:p>
    <w:p>
      <w:r>
        <w:rPr>
          <w:rFonts w:ascii="Courier New" w:hAnsi="Courier New"/>
          <w:sz w:val="17"/>
        </w:rPr>
        <w:t xml:space="preserve">4.1    Verrechnung von Wertpapier- und Derivatgeschäften</w:t>
      </w:r>
    </w:p>
    <w:p>
      <w:r>
        <w:rPr>
          <w:rFonts w:ascii="Courier New" w:hAnsi="Courier New"/>
          <w:sz w:val="17"/>
        </w:rPr>
        <w:t xml:space="preserve">4.1.1    System einer Clearingstelle oder zentralen Gegenpartei zur Verrechnung von Wertpapier- und Derivatgeschäften    Anzahl der Transaktionen/Jahr    850 000</w:t>
      </w:r>
    </w:p>
    <w:p>
      <w:r>
        <w:rPr>
          <w:rFonts w:ascii="Courier New" w:hAnsi="Courier New"/>
          <w:sz w:val="17"/>
        </w:rPr>
        <w:t xml:space="preserve">4.1.2    System zur Anbindung für die Verrechnung und Verbuchung von Wertpapier- und Derivatgeschäften    Anzahl der Transaktionen/Jahr    850 000</w:t>
      </w:r>
    </w:p>
    <w:p>
      <w:r>
        <w:rPr>
          <w:rFonts w:ascii="Courier New" w:hAnsi="Courier New"/>
          <w:sz w:val="17"/>
        </w:rPr>
        <w:t xml:space="preserve">4.2    Verbuchung Wertpapiere</w:t>
      </w:r>
    </w:p>
    <w:p>
      <w:r>
        <w:rPr>
          <w:rFonts w:ascii="Courier New" w:hAnsi="Courier New"/>
          <w:sz w:val="17"/>
        </w:rPr>
        <w:t xml:space="preserve">4.2.1    Wertpapier-Settlement-System    Anzahl der Transaktionen/Jahr    850 000</w:t>
      </w:r>
    </w:p>
    <w:p>
      <w:r>
        <w:rPr>
          <w:rFonts w:ascii="Courier New" w:hAnsi="Courier New"/>
          <w:sz w:val="17"/>
        </w:rPr>
        <w:t xml:space="preserve">4.2.2    Depotführungssystem eines Finanzmarktinfrastrukturbetreibers    Anzahl der Transaktionen/Jahr    850 000</w:t>
      </w:r>
    </w:p>
    <w:p>
      <w:r>
        <w:rPr>
          <w:rFonts w:ascii="Courier New" w:hAnsi="Courier New"/>
          <w:sz w:val="17"/>
        </w:rPr>
        <w:t xml:space="preserve">4.2.3    System eines Zentralverwahrers    Anzahl der Transaktionen/Jahr    850 000</w:t>
      </w:r>
    </w:p>
    <w:p>
      <w:r>
        <w:rPr>
          <w:rFonts w:ascii="Courier New" w:hAnsi="Courier New"/>
          <w:sz w:val="17"/>
        </w:rPr>
        <w:t xml:space="preserve">4.3    Verbuchung Geld</w:t>
      </w:r>
    </w:p>
    <w:p>
      <w:r>
        <w:rPr>
          <w:rFonts w:ascii="Courier New" w:hAnsi="Courier New"/>
          <w:sz w:val="17"/>
        </w:rPr>
        <w:t xml:space="preserve">4.3.1    System zur Aufbereitung der Zahlungsanweisung    Anzahl der Transaktionen/Jahr    850 000</w:t>
      </w:r>
    </w:p>
    <w:p>
      <w:r>
        <w:rPr>
          <w:rFonts w:ascii="Courier New" w:hAnsi="Courier New"/>
          <w:sz w:val="17"/>
        </w:rPr>
        <w:t xml:space="preserve">4.4    Einbringen von Aufträgen in den Handel</w:t>
      </w:r>
    </w:p>
    <w:p>
      <w:r>
        <w:rPr>
          <w:rFonts w:ascii="Courier New" w:hAnsi="Courier New"/>
          <w:sz w:val="17"/>
        </w:rPr>
        <w:t xml:space="preserve">4.4.1    System für das Erzeugen von Aufträgen zum Handel von Wertpapieren und Derivaten und Weiterleiten an einen Handelsplatz    Anzahl der Transaktionen/Jahr    6 750 000</w:t>
      </w:r>
    </w:p>
    <w:p>
      <w:r>
        <w:rPr>
          <w:rFonts w:ascii="Courier New" w:hAnsi="Courier New"/>
          <w:sz w:val="17"/>
        </w:rPr>
        <w:t xml:space="preserve">4.5    Ausführung des Handels</w:t>
      </w:r>
    </w:p>
    <w:p>
      <w:r>
        <w:rPr>
          <w:rFonts w:ascii="Courier New" w:hAnsi="Courier New"/>
          <w:sz w:val="17"/>
        </w:rPr>
        <w:t xml:space="preserve">4.5.1    System eines Handelsplatzes    Anzahl der Transaktionen/Jahr    850 000</w:t>
      </w:r>
    </w:p>
    <w:p>
      <w:r>
        <w:rPr>
          <w:rFonts w:ascii="Courier New" w:hAnsi="Courier New"/>
          <w:sz w:val="17"/>
        </w:rPr>
        <w:t xml:space="preserve">4.6    Bestandsführung für den Kunden</w:t>
      </w:r>
    </w:p>
    <w:p>
      <w:r>
        <w:rPr>
          <w:rFonts w:ascii="Courier New" w:hAnsi="Courier New"/>
          <w:sz w:val="17"/>
        </w:rPr>
        <w:t xml:space="preserve">4.6.1    Sonstiges Depotführungssystem    Anzahl der Transaktionen/Jahr    6 750 000</w:t>
      </w:r>
    </w:p>
    <w:p>
      <w:r>
        <w:rPr>
          <w:rFonts w:ascii="Courier New" w:hAnsi="Courier New"/>
          <w:sz w:val="17"/>
        </w:rPr>
        <w:t xml:space="preserve">5    (weggefallen)</w:t>
      </w:r>
    </w:p>
    <w:p>
      <w:r>
        <w:rPr>
          <w:color w:val="555555"/>
          <w:sz w:val="17"/>
        </w:rPr>
        <w:t xml:space="preserve">Zitiervorschlag: Anhang 6 BSI-KritisV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https://recht.nulegal.eu/gesetze/BSI-KritisV/anhang-6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