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BSI-KritisV — Sektor Transport und Verkehr</w:t>
      </w:r>
    </w:p>
    <w:p>
      <w:r>
        <w:rPr>
          <w:color w:val="555555"/>
          <w:sz w:val="18"/>
        </w:rPr>
        <w:t xml:space="preserve">BSI-Kritisverordnung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Wegen ihrer besonderen Bedeutung für das Funktionieren des Gemeinwesens ist im Sektor Transport und Verkehr die Versorgung der Allgemeinheit mit Leistungen zum Transport von Personen und Gütern (Personen- und Güterverkehr) kritische Dienstleistung im Sinne des § 56 Absatz 4 Satz 1 in Verbindung mit § 2 Nummer 24 des BSI-Gesetzes.</w:t>
      </w:r>
    </w:p>
    <w:p>
      <w:r>
        <w:t xml:space="preserve">(2) Der Personen- und Güterverkehr wird in den Bereichen Luftverkehr, Eisenbahnverkehr, See- und Binnenschifffahrt, Straßenverkehr, öffentlicher Personennahverkehr (ÖPNV) und Logistik sowie verkehrsträgerübergreifend erbracht.</w:t>
      </w:r>
    </w:p>
    <w:p>
      <w:r>
        <w:t xml:space="preserve">(3) Im Sektor Transport und Verkehr sind kritische Anlagen solche Anlagen oder Teile davon, die</w:t>
      </w:r>
    </w:p>
    <w:p>
      <w:pPr>
        <w:ind w:left="420"/>
      </w:pPr>
      <w:r>
        <w:t xml:space="preserve">1. den in Anhang 7 Teil 3 Spalte B genannten Kategorien zuzuordnen sind und</w:t>
      </w:r>
    </w:p>
    <w:p>
      <w:pPr>
        <w:ind w:left="420"/>
      </w:pPr>
      <w:r>
        <w:t xml:space="preserve">2. den Schwellenwert nach Anhang 7 Teil 3 Spalte D erreichen oder überschreiten.</w:t>
      </w:r>
    </w:p>
    <w:p>
      <w:r>
        <w:rPr>
          <w:color w:val="555555"/>
          <w:sz w:val="17"/>
        </w:rPr>
        <w:t xml:space="preserve">Zitiervorschlag: § 9 BSI-KritisV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https://recht.nulegal.eu/gesetze/BSI-KritisV/9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