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BSI-KritisV — Sektor Finanzwesen</w:t>
      </w:r>
    </w:p>
    <w:p>
      <w:r>
        <w:rPr>
          <w:color w:val="555555"/>
          <w:sz w:val="18"/>
        </w:rPr>
        <w:t xml:space="preserve">BSI-Kritisverordnung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Wegen ihrer besonderen Bedeutung für das Funktionieren des Gemeinwesens sind im Sektor Finanzwesen kritische Dienstleistungen im Sinne des § 56 Absatz 4 in Verbindung mit § 2 Nummer 24 des BSI-Gesetzes:</w:t>
      </w:r>
    </w:p>
    <w:p>
      <w:pPr>
        <w:ind w:left="420"/>
      </w:pPr>
      <w:r>
        <w:t xml:space="preserve">1. die Bargeldversorgung;</w:t>
      </w:r>
    </w:p>
    <w:p>
      <w:pPr>
        <w:ind w:left="420"/>
      </w:pPr>
      <w:r>
        <w:t xml:space="preserve">2. der kartengestützte Zahlungsverkehr;</w:t>
      </w:r>
    </w:p>
    <w:p>
      <w:pPr>
        <w:ind w:left="420"/>
      </w:pPr>
      <w:r>
        <w:t xml:space="preserve">3. der konventionelle Zahlungsverkehr;</w:t>
      </w:r>
    </w:p>
    <w:p>
      <w:pPr>
        <w:ind w:left="420"/>
      </w:pPr>
      <w:r>
        <w:t xml:space="preserve">4. der Handel mit Wertpapieren und Derivaten sowie die Verrechnung und die Abwicklung von Wertpapier- und Derivatgeschäften.</w:t>
      </w:r>
    </w:p>
    <w:p>
      <w:r>
        <w:t xml:space="preserve">(2) Die Bargeldversorgung wird in den Bereichen Autorisierung einer Abhebung, Einbringen in den Zahlungsverkehr, Belastung Kundenkonto und Bargeldlogistik erbracht.</w:t>
      </w:r>
    </w:p>
    <w:p>
      <w:r>
        <w:t xml:space="preserve">(3) Der kartengestützte Zahlungsverkehr wird bei kartengebundenen Zahlungsvorgängen im Sinne der Verordnung (EU) 2015/751 des Europäischen Parlaments und des Rates vom 29. April 2015 über Interbankenentgelte für kartengebundene Zahlungsvorgänge (ABl. L 123 vom 19.5.2015, S. 1) in den Bereichen Autorisierung, Einbringen in den Zahlungsverkehr sowie Belastung auf dem Konto des Zahlers und Gutschrift auf dem Konto des Zahlungsempfängers erbracht.</w:t>
      </w:r>
    </w:p>
    <w:p>
      <w:r>
        <w:t xml:space="preserve">(4) Der konventionelle Zahlungsverkehr wird bei Zahlungsvorgängen mittels Überweisung und Lastschrift im Sinne der Verordnung (EU) Nr. 260/2012 des Europäischen Parlaments und des Rates vom 14. März 2012 zur Festlegung der technischen Vorschriften und der Geschäftsanforderungen für Überweisungen und Lastschriften in Euro (ABl. L 94 vom 30.3.2012, S. 22) in den Bereichen Annahme einer Überweisung oder Lastschrift, Einbringen in den Zahlungsverkehr sowie Belastung und Gutschrift auf Kundenkonten erbracht.</w:t>
      </w:r>
    </w:p>
    <w:p>
      <w:r>
        <w:t xml:space="preserve">(5) Der Handel mit Wertpapieren und Derivaten sowie die Verrechnung und die Abwicklung von Wertpapier- und Derivatgeschäften wird in den Bereichen Einbringen von Aufträgen in den Handel, Ausführung des Handels und Bestandsführung für den Kunden sowie Verrechnung von Wertpapier- und Derivatgeschäften, Verbuchung Wertpapiere und Verbuchung Geld erbracht.</w:t>
      </w:r>
    </w:p>
    <w:p>
      <w:r>
        <w:t xml:space="preserve">(6) Im Sektor Finanzwesen sind kritische Anlagen solche Anlagen oder Teile davon, die</w:t>
      </w:r>
    </w:p>
    <w:p>
      <w:pPr>
        <w:ind w:left="420"/>
      </w:pPr>
      <w:r>
        <w:t xml:space="preserve">1. den in Anhang 6 Teil 3 Spalte B genannten Kategorien zuzuordnen sind und</w:t>
      </w:r>
    </w:p>
    <w:p>
      <w:pPr>
        <w:ind w:left="420"/>
      </w:pPr>
      <w:r>
        <w:t xml:space="preserve">2. den Schwellenwert nach Anhang 6 Teil 3 Spalte D erreichen oder überschreiten.</w:t>
      </w:r>
    </w:p>
    <w:p>
      <w:r>
        <w:rPr>
          <w:color w:val="555555"/>
          <w:sz w:val="17"/>
        </w:rPr>
        <w:t xml:space="preserve">Zitiervorschlag: § 7 BSI-KritisV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https://recht.nulegal.eu/gesetze/BSI-KritisV/7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