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BSI-KritisV — Sektor Gesundheit</w:t>
      </w:r>
    </w:p>
    <w:p>
      <w:r>
        <w:rPr>
          <w:color w:val="555555"/>
          <w:sz w:val="18"/>
        </w:rPr>
        <w:t xml:space="preserve">BSI-Kritisverordnung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Wegen ihrer besonderen Bedeutung für das Funktionieren des Gemeinwesens sind im Sektor Gesundheit kritische Dienstleistungen im Sinne des § 56 Absatz 4 Satz 1 in Verbindung mit § 2 Nummer 24 des BSI-Gesetzes:</w:t>
      </w:r>
    </w:p>
    <w:p>
      <w:pPr>
        <w:ind w:left="420"/>
      </w:pPr>
      <w:r>
        <w:t xml:space="preserve">1. die stationäre medizinische Versorgung;</w:t>
      </w:r>
    </w:p>
    <w:p>
      <w:pPr>
        <w:ind w:left="420"/>
      </w:pPr>
      <w:r>
        <w:t xml:space="preserve">2. die Versorgung mit unmittelbar lebenserhaltenden Medizinprodukten, die Verbrauchsgüter sind;</w:t>
      </w:r>
    </w:p>
    <w:p>
      <w:pPr>
        <w:ind w:left="420"/>
      </w:pPr>
      <w:r>
        <w:t xml:space="preserve">3. die Versorgung mit verschreibungspflichtigen Arzneimitteln und Blut- und Plasmakonzentraten zur Anwendung im oder am menschlichen Körper;</w:t>
      </w:r>
    </w:p>
    <w:p>
      <w:pPr>
        <w:ind w:left="420"/>
      </w:pPr>
      <w:r>
        <w:t xml:space="preserve">4. die Laboratoriumsdiagnostik.</w:t>
      </w:r>
    </w:p>
    <w:p>
      <w:r>
        <w:t xml:space="preserve">(2) Die Versorgung mit unmittelbar lebenserhaltenden Medizinprodukten, die Verbrauchsgüter sind, wird in den Bereichen Herstellung und Abgabe erbracht.</w:t>
      </w:r>
    </w:p>
    <w:p>
      <w:r>
        <w:t xml:space="preserve">(3) Die Versorgung mit verschreibungspflichtigen Arzneimitteln und Blut- und Plasmakonzentraten zur Anwendung im oder am menschlichen Körper wird in den Bereichen Herstellung, Vertrieb und Abgabe erbracht.</w:t>
      </w:r>
    </w:p>
    <w:p>
      <w:r>
        <w:t xml:space="preserve">(4) Im Sektor Gesundheit sind kritische Anlagen solche Anlagen oder Teile davon, die</w:t>
      </w:r>
    </w:p>
    <w:p>
      <w:pPr>
        <w:ind w:left="420"/>
      </w:pPr>
      <w:r>
        <w:t xml:space="preserve">1. den in Anhang 5 Teil 3 Spalte B genannten Kategorien zuzuordnen sind und</w:t>
      </w:r>
    </w:p>
    <w:p>
      <w:pPr>
        <w:ind w:left="420"/>
      </w:pPr>
      <w:r>
        <w:t xml:space="preserve">2. den Schwellenwert nach Anhang 5 Teil 3 Spalte D erreichen oder überschreiten.</w:t>
      </w:r>
    </w:p>
    <w:p>
      <w:r>
        <w:rPr>
          <w:color w:val="555555"/>
          <w:sz w:val="17"/>
        </w:rPr>
        <w:t xml:space="preserve">Zitiervorschlag: § 6 BSI-KritisV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https://recht.nulegal.eu/gesetze/BSI-KritisV/6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