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BSI-KritisV — Außerkrafttreten</w:t>
      </w:r>
    </w:p>
    <w:p>
      <w:r>
        <w:rPr>
          <w:color w:val="555555"/>
          <w:sz w:val="18"/>
        </w:rPr>
        <w:t xml:space="preserve">BSI-Kritisverordnung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Die BSI-Kritisverordnung vom 22. April 2016 (BGBl. I S. 958), die zuletzt durch Artikel 2 des Gesetzes vom 18. Dezember 2025 (BGBl. 2025 I Nr. 347) geändert worden ist, tritt mit Inkrafttreten der Rechtsverordnung nach § 4 Absatz 3 und § 5 Absatz 1 des KRITIS-Dachgesetzes außer Kraft. Das Bundesministerium des Innern gibt das Inkrafttreten im Bundesgesetzblatt bekannt.</w:t>
      </w:r>
    </w:p>
    <w:p>
      <w:r>
        <w:rPr>
          <w:color w:val="555555"/>
          <w:sz w:val="17"/>
        </w:rPr>
        <w:t xml:space="preserve">Zitiervorschlag: § 12 BSI-KritisV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https://recht.nulegal.eu/gesetze/BSI-KritisV/12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