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BSI-KritisV — Sektor Siedlungsabfallentsorgung</w:t>
      </w:r>
    </w:p>
    <w:p>
      <w:r>
        <w:rPr>
          <w:color w:val="555555"/>
          <w:sz w:val="18"/>
        </w:rPr>
        <w:t xml:space="preserve">BSI-Kritisverordnung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Wegen ihrer besonderen Bedeutung für das Funktionieren des Gemeinwesens ist im Sektor Siedlungsabfallentsorgung die Entsorgung von Siedlungsabfällen kritische Dienstleistung im Sinne des § 56 Absatz 4 Satz 1 in Verbindung mit § 2 Nummer 24 des BSI-Gesetzes.</w:t>
      </w:r>
    </w:p>
    <w:p>
      <w:r>
        <w:t xml:space="preserve">(2) Die Siedlungsabfallentsorgung wird in den Bereichen „Abfallsammlung und -beförderung“ und „Abfallverwertung und -beseitigung“ erbracht.</w:t>
      </w:r>
    </w:p>
    <w:p>
      <w:r>
        <w:t xml:space="preserve">(3) Im Sektor Siedlungsabfallentsorgung sind kritische Anlagen solche Anlagen oder Teile davon, die</w:t>
      </w:r>
    </w:p>
    <w:p>
      <w:pPr>
        <w:ind w:left="420"/>
      </w:pPr>
      <w:r>
        <w:t xml:space="preserve">1. den in Anhang 8 Teil 3 Spalte B genannten Kategorien zuzuordnen sind und</w:t>
      </w:r>
    </w:p>
    <w:p>
      <w:pPr>
        <w:ind w:left="420"/>
      </w:pPr>
      <w:r>
        <w:t xml:space="preserve">2. den Schwellenwert nach Anhang 8 Teil 3 Spalte D erreichen oder überschreiten.</w:t>
      </w:r>
    </w:p>
    <w:p>
      <w:r>
        <w:rPr>
          <w:color w:val="555555"/>
          <w:sz w:val="17"/>
        </w:rPr>
        <w:t xml:space="preserve">Zitiervorschlag: § 10 BSI-KritisV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https://recht.nulegal.eu/gesetze/BSI-KritisV/10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BSI-KritisV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