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BSI-KostV 2005 — Gebühren und Auslagen</w:t>
      </w:r>
    </w:p>
    <w:p>
      <w:r>
        <w:rPr>
          <w:color w:val="555555"/>
          <w:sz w:val="18"/>
        </w:rPr>
        <w:t xml:space="preserve">BSI-Kostenverordnung</w:t>
      </w:r>
    </w:p>
    <w:p>
      <w:r>
        <w:rPr>
          <w:color w:val="555555"/>
          <w:sz w:val="18"/>
        </w:rPr>
        <w:t xml:space="preserve">Historische Fassung: Stand 10.06.2019 bis 02.10.2019. Dies ist nicht die aktuelle Fassung.</w:t>
      </w:r>
    </w:p>
    <w:p>
      <w:r>
        <w:t xml:space="preserve">(1) Die Gebühren bestimmen sich nach dem anliegenden Gebührenverzeichnis. Auslagen werden nach Maßgabe des § 23 Absatz 6 des Bundesgebührengesetzes gesondert erhoben.</w:t>
      </w:r>
    </w:p>
    <w:p>
      <w:r>
        <w:t xml:space="preserve">(2) Gebühren und Auslagen werden auch erhoben, wenn ein Antrag auf Vornahme einer gebührenpflichtigen individuell zurechenbaren öffentlichen Leistung nach Beginn der sachlichen Bearbeitung vom Antragsteller zurückgenommen wird oder ein Antrag aus anderen Gründen als wegen Unzuständigkeit abgelehnt wird oder ein Verwaltungsakt zurückgenommen oder widerrufen wird.</w:t>
      </w:r>
    </w:p>
    <w:p>
      <w:r>
        <w:t xml:space="preserve">(3) Gebühren und Auslagen werden auch erhoben, wenn gegen einen Verwaltungsakt Widerspruch eingelegt und dieser zurückgewiesen wird oder dieser nach Beginn der sachlichen Bearbeitung vom Antragsteller zurückgenommen wird.</w:t>
      </w:r>
    </w:p>
    <w:p>
      <w:r>
        <w:t xml:space="preserve">(4) Gebühren und Auslagen, die bei fachgerechter Behandlung der Sache nicht entstanden wären, werden nicht erhoben.</w:t>
      </w:r>
    </w:p>
    <w:p>
      <w:r>
        <w:rPr>
          <w:color w:val="555555"/>
          <w:sz w:val="17"/>
        </w:rPr>
        <w:t xml:space="preserve">Zitiervorschlag: § 2 BSI-KostV 2005</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https://recht.nulegal.eu/gesetze/BSI-KostV%202005/2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