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BSI-ITSiKV — Antragsprüfung</w:t>
      </w:r>
    </w:p>
    <w:p>
      <w:r>
        <w:rPr>
          <w:color w:val="555555"/>
          <w:sz w:val="18"/>
        </w:rPr>
        <w:t xml:space="preserve">BSI-IT-Sicherheitskennzeichenverordnung</w:t>
      </w:r>
    </w:p>
    <w:p>
      <w:r>
        <w:rPr>
          <w:color w:val="555555"/>
          <w:sz w:val="18"/>
        </w:rPr>
        <w:t xml:space="preserve">Stand: 07.12.2025 (konsolidierte Textfassung, kein amtliches Inkrafttretensdatum)</w:t>
      </w:r>
    </w:p>
    <w:p>
      <w:r>
        <w:t xml:space="preserve">(1) Das Bundesamt führt anhand der eingereichten Unterlagen eine Plausibilitätsprüfung durch. Die Prüfung erfolgt innerhalb der nach § 11 Absatz 1 festgelegten Prüfungsfrist und anhand einer Verfahrensbeschreibung zum Ablauf des Prüfverfahrens, die vom Bundesamt veröffentlicht wird.</w:t>
      </w:r>
    </w:p>
    <w:p>
      <w:r>
        <w:t xml:space="preserve">(2) Das Bundesamt kann die Überprüfung von Herstellerdokumenten auf qualifizierte Dritte im Sinne des § 2 Nummer 5 übertragen.</w:t>
      </w:r>
    </w:p>
    <w:p>
      <w:r>
        <w:t xml:space="preserve">(3) Ist für ein Produkt eine geeignete branchenabgestimmte IT-Sicherheitsvorgabe nach § 10 einschlägig, sind für die Plausibilitätsprüfung die Vorgaben dieses Standards ausschlaggebend.</w:t>
      </w:r>
    </w:p>
    <w:p>
      <w:r>
        <w:t xml:space="preserve">(4) Liegen die gesetzlichen Voraussetzungen gemäß § 55 Absatz 5 des BSI-Gesetzes vor, erteilt das Bundesamt die Freigabe zur Nutzung des IT-Sicherheitskennzeichens.</w:t>
      </w:r>
    </w:p>
    <w:p>
      <w:r>
        <w:t xml:space="preserve">(5) Das Bundesamt kann den Antrag ablehnen, wenn Hinweise dafür vorliegen, dass</w:t>
      </w:r>
    </w:p>
    <w:p>
      <w:pPr>
        <w:ind w:left="420"/>
      </w:pPr>
      <w:r>
        <w:t xml:space="preserve">1. das Produkt oder die mit dem Produkt ausgelieferte Software bekannte Sicherheitslücken enthält oder</w:t>
      </w:r>
    </w:p>
    <w:p>
      <w:pPr>
        <w:ind w:left="420"/>
      </w:pPr>
      <w:r>
        <w:t xml:space="preserve">2. Produkte des Herstellers bereits Gegenstand einer Warnung oder Information nach den § 13 oder 14 des BSI-Gesetzes oder von Maßnahmen nach § 55 Absatz 8 des BSI-Gesetzes betroffen waren.</w:t>
      </w:r>
    </w:p>
    <w:p>
      <w:r>
        <w:t xml:space="preserve">Das Bundesamt kann die Freigabe der Nutzung auch dann verweigern, wenn der Freigabe unabhängig von den eingereichten Unterlagen ernstliche Zweifel an der Herstellererklärung entgegenstehen.</w:t>
      </w:r>
    </w:p>
    <w:p>
      <w:r>
        <w:t xml:space="preserve">(6) Entscheidungen, mit denen abschließend über einen nach dieser Verordnung gestellten Antrag entschieden wird, sind schriftlich oder elektronisch zu erlassen.</w:t>
      </w:r>
    </w:p>
    <w:p>
      <w:r>
        <w:rPr>
          <w:color w:val="555555"/>
          <w:sz w:val="17"/>
        </w:rPr>
        <w:t xml:space="preserve">Zitiervorschlag: § 5 BSI-ITSiKV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https://recht.nulegal.eu/gesetze/BSI-ITSiKV/5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