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BSI-ITSiKV — Informationen für Verbraucher</w:t>
      </w:r>
    </w:p>
    <w:p>
      <w:r>
        <w:rPr>
          <w:color w:val="555555"/>
          <w:sz w:val="18"/>
        </w:rPr>
        <w:t xml:space="preserve">BSI-IT-Sicherheitskennzeichenverordnung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Verbraucherinformationen zu Produkten mit der Freigabe zur Nutzung des IT-Sicherheitskennzeichens werden in der Sicherheitsinformation nach § 55 Absatz 2 des BSI-Gesetzes auf der Internetseite des Bundesamtes veröffentlicht. Davon unberührt bleiben die Bestimmungen der § 13 oder 14 des BSI-Gesetzes.</w:t>
      </w:r>
    </w:p>
    <w:p>
      <w:r>
        <w:rPr>
          <w:color w:val="555555"/>
          <w:sz w:val="17"/>
        </w:rPr>
        <w:t xml:space="preserve">Zitiervorschlag: § 13 BSI-ITSiKV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https://recht.nulegal.eu/gesetze/BSI-ITSiKV/13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