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BSI-ITSiKV — Anwendungsbereich</w:t>
      </w:r>
    </w:p>
    <w:p>
      <w:r>
        <w:rPr>
          <w:color w:val="555555"/>
          <w:sz w:val="18"/>
        </w:rPr>
        <w:t xml:space="preserve">BSI-IT-Sicherheitskennzeichenverordnung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Diese Verordnung regelt die Gestaltung und Verwendung des IT-Sicherheitskennzeichens im Sinne des § 9c Absatz 1 Satz 1 des BSI-Gesetzes und legt das Verwaltungsverfahren zur Sicherstellung der Anforderungen im Zusammenhang mit der Verwendung des Kennzeichens fest.</w:t>
      </w:r>
    </w:p>
    <w:p>
      <w:r>
        <w:rPr>
          <w:color w:val="555555"/>
          <w:sz w:val="17"/>
        </w:rPr>
        <w:t xml:space="preserve">Zitiervorschlag: § 1 BSI-ITSiKV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https://recht.nulegal.eu/gesetze/BSI-ITSiKV/1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