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BSHGebV 2018 — Inkrafttreten, Außerkrafttreten</w:t>
      </w:r>
    </w:p>
    <w:p>
      <w:r>
        <w:rPr>
          <w:color w:val="555555"/>
          <w:sz w:val="18"/>
        </w:rPr>
        <w:t xml:space="preserve">BSH-Gebührenverordnung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Diese Verordnung tritt am Tag nach der Verkündung in Kraft. Gleichzeitig tritt die BSH-Gebührenverordnung vom 20. Juli 2012 (BGBl. I S. 1642), die zuletzt durch Artikel 6 der Verordnung vom 25. September 2015 (BGBl. I S. 1664) geändert worden ist, außer Kraft.</w:t>
      </w:r>
    </w:p>
    <w:p>
      <w:r>
        <w:rPr>
          <w:color w:val="555555"/>
          <w:sz w:val="17"/>
        </w:rPr>
        <w:t xml:space="preserve">Zitiervorschlag: § 5 BSHGebV 2018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https://recht.nulegal.eu/gesetze/BSHGebV%202018/5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