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BSHGebV 2018 — Übergangsregelung</w:t>
      </w:r>
    </w:p>
    <w:p>
      <w:r>
        <w:rPr>
          <w:color w:val="555555"/>
          <w:sz w:val="18"/>
        </w:rPr>
        <w:t xml:space="preserve">BSH-Gebührenverordnung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Auf Verfahren, die den Übergangsregelungen nach § 17 Absatz 1 bis 4 der Seeanlagenverordnung vom 23. Januar 1997 (BGBl. I S. 57) in der bis zum 1. Januar 2017 geltenden Fassung unterliegen, sind die Gebührennummern 6051 und 6052 der Anlage zu § 1 Absatz 2 der Kostenverordnung für Amtshandlungen des Bundesamtes für Seeschifffahrt und Hydrographie vom 20. Dezember 2001 (BGBl. I S. 4081) in der bis zum 25. Juli 2012 geltenden Fassung weiter anzuwenden.</w:t>
      </w:r>
    </w:p>
    <w:p>
      <w:r>
        <w:t xml:space="preserve">(2) Auf Verfahren, auf die nach der Übergangsbestimmung des § 77 Absatz 1 des Windenergie-auf-See-Gesetzes oder nach der Übergangsvorschrift des § 18 des Seeanlagengesetzes vom 13. Oktober 2016 (BGBl. I S. 2258, 2348) weiterhin die Seeanlagenverordnung anzuwenden ist, ist die Gebührenverordnung für Amtshandlungen des Bundesamtes für Seeschifffahrt und Hydrographie vom 20. Juli 2012 (BGBl. I S. 1642) in der bis zum 17. Juli 2018 geltenden Fassung anzuwenden.</w:t>
      </w:r>
    </w:p>
    <w:p>
      <w:r>
        <w:rPr>
          <w:color w:val="555555"/>
          <w:sz w:val="17"/>
        </w:rPr>
        <w:t xml:space="preserve">Zitiervorschlag: § 4 BSHGebV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https://recht.nulegal.eu/gesetze/BSHGebV%202018/4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