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BSHGebV 2018 — Gebühren und Auslagen</w:t>
      </w:r>
    </w:p>
    <w:p>
      <w:r>
        <w:rPr>
          <w:color w:val="555555"/>
          <w:sz w:val="18"/>
        </w:rPr>
        <w:t xml:space="preserve">BSH-Gebührenverordnung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Für gebührenfähige Leistungen im Zuständigkeitsbereich des Bundesministeriums für Verkehr und digitale Infrastruktur werden die im Gebührenverzeichnis bestimmten Gebühren und Auslagen erhoben, sofern nicht im Gebührenverzeichnis eine Gebühren- oder Auslagenermäßigung oder eine Gebühren- oder Auslagenbefreiung bestimmt ist.</w:t>
      </w:r>
    </w:p>
    <w:p>
      <w:r>
        <w:t xml:space="preserve">(2) Auslagen werden nach Maßgabe des § 12 Absatz 1 des Bundesgebührengesetzes gesondert erhoben. Kosten für Dienstreisen und für Sachverständige sind in der Gebühr enthalten, es sein denn, dass im Gebührenverzeichnis etwas anderes bestimmt ist.</w:t>
      </w:r>
    </w:p>
    <w:p>
      <w:r>
        <w:t xml:space="preserve">(3) Die im Gebührenverzeichnis aufgeführten Gebührentatbestände umfassen jeweils auch die Gebühr für die Gebührenfestsetzung.</w:t>
      </w:r>
    </w:p>
    <w:p>
      <w:r>
        <w:rPr>
          <w:color w:val="555555"/>
          <w:sz w:val="17"/>
        </w:rPr>
        <w:t xml:space="preserve">Zitiervorschlag: § 2 BSHGebV 2018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https://recht.nulegal.eu/gesetze/BSHGebV%202018/2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