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BSHGebV 2018 — Anwendungsbereich</w:t>
      </w:r>
    </w:p>
    <w:p>
      <w:r>
        <w:rPr>
          <w:color w:val="555555"/>
          <w:sz w:val="18"/>
        </w:rPr>
        <w:t xml:space="preserve">BSH-Gebührenverordnung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Das Bundesamt für Seeschifffahrt und Hydrographie erhebt für individuell zurechenbare öffentliche Leistungen Gebühren und Auslagen nach dieser Verordnung auf den folgenden Gebieten:</w:t>
      </w:r>
    </w:p>
    <w:p>
      <w:pPr>
        <w:ind w:left="420"/>
      </w:pPr>
      <w:r>
        <w:t xml:space="preserve">1. Flaggenrecht,</w:t>
      </w:r>
    </w:p>
    <w:p>
      <w:pPr>
        <w:ind w:left="420"/>
      </w:pPr>
      <w:r>
        <w:t xml:space="preserve">2. Ausbildungs- und Befähigungswesen,</w:t>
      </w:r>
    </w:p>
    <w:p>
      <w:pPr>
        <w:ind w:left="420"/>
      </w:pPr>
      <w:r>
        <w:t xml:space="preserve">3. Schiffsvermessung,</w:t>
      </w:r>
    </w:p>
    <w:p>
      <w:pPr>
        <w:ind w:left="420"/>
      </w:pPr>
      <w:r>
        <w:t xml:space="preserve">4. Zulassung einschließlich Prüfung nautischer Systeme, Anlagen, Geräte und Instrumente,</w:t>
      </w:r>
    </w:p>
    <w:p>
      <w:pPr>
        <w:ind w:left="420"/>
      </w:pPr>
      <w:r>
        <w:t xml:space="preserve">5. Abwehr äußerer Gefahren auf See nach Kapitel XI-2 der Anlage zum Internationalen Übereinkommen von 1974 zum Schutz des menschlichen Lebens auf See vom 1. November 1974 (BGBl. 1979 II S. 141, 142),</w:t>
      </w:r>
    </w:p>
    <w:p>
      <w:pPr>
        <w:ind w:left="420"/>
      </w:pPr>
      <w:r>
        <w:t xml:space="preserve">6. Marktüberwachung von Schiffsausrüstung,</w:t>
      </w:r>
    </w:p>
    <w:p>
      <w:pPr>
        <w:ind w:left="420"/>
      </w:pPr>
      <w:r>
        <w:t xml:space="preserve">7. schiffsbezogenes Umweltrecht,</w:t>
      </w:r>
    </w:p>
    <w:p>
      <w:pPr>
        <w:ind w:left="420"/>
      </w:pPr>
      <w:r>
        <w:t xml:space="preserve">8. Aufsicht über benannte Stellen für Schiffsausrüstung,</w:t>
      </w:r>
    </w:p>
    <w:p>
      <w:pPr>
        <w:ind w:left="420"/>
      </w:pPr>
      <w:r>
        <w:t xml:space="preserve">9. Zulassung von Windenergieanlagen auf See, Offshore-Anbindungsleitungen sowie sonstigen Einrichtungen in der deutschen ausschließlichen Wirtschaftszone und auf Hoher See in den Fällen des § 44 Absatz 1 des Windenergie-auf-See-Gesetzes vom 13. Oktober 2016 (BGBl. I S. 2258, 2310), das zuletzt durch Artikel 2 Absatz 19 des Gesetzes vom 20. Juli 2017 (BGBl. I S. 2808) geändert worden ist, in der jeweils geltenden Fassung,</w:t>
      </w:r>
    </w:p>
    <w:p>
      <w:pPr>
        <w:ind w:left="420"/>
      </w:pPr>
      <w:r>
        <w:t xml:space="preserve">10. Bergrecht im Festlandsockel und</w:t>
      </w:r>
    </w:p>
    <w:p>
      <w:pPr>
        <w:ind w:left="420"/>
      </w:pPr>
      <w:r>
        <w:t xml:space="preserve">11. Raumordnungsrecht in der deutschen ausschließlichen Wirtschaftszone.</w:t>
      </w:r>
    </w:p>
    <w:p>
      <w:r>
        <w:rPr>
          <w:color w:val="555555"/>
          <w:sz w:val="17"/>
        </w:rPr>
        <w:t xml:space="preserve">Zitiervorschlag: § 1 BSHGebV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https://recht.nulegal.eu/gesetze/BSHGebV%202018/1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