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BSHG§76DV — Andere Einkünfte</w:t>
      </w:r>
    </w:p>
    <w:p>
      <w:r>
        <w:rPr>
          <w:color w:val="555555"/>
          <w:sz w:val="18"/>
        </w:rPr>
        <w:t xml:space="preserve">Verordnung zur Durchführung des § 82 des Zwölften Buches Sozialgesetzbuch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Andere als die in den §§ 3, 4, 6 und 7 genannten Einkünfte sind, wenn sie nicht monatlich oder wenn sie monatlich in unterschiedlicher Höhe erzielt werden, als Jahreseinkünfte zu berechnen. Zu den anderen Einkünften im Sinne des Satzes 1 gehören auch die in § 19 Abs. 1 Ziff. 2 des Einkommensteuergesetzes genannten Bezüge sowie Renten und sonstige wiederkehrende Bezüge. § 3 Abs. 3 gilt entsprechend.</w:t>
      </w:r>
    </w:p>
    <w:p>
      <w:r>
        <w:t xml:space="preserve">(2) Sind die Einkünfte als Jahreseinkünfte zu berechnen, gilt § 6 Abs. 3 entsprechend.</w:t>
      </w:r>
    </w:p>
    <w:p>
      <w:r>
        <w:rPr>
          <w:color w:val="555555"/>
          <w:sz w:val="17"/>
        </w:rPr>
        <w:t xml:space="preserve">Zitiervorschlag: § 8 BSHG§76DV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https://recht.nulegal.eu/gesetze/BSHG%C2%A776DV/8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