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BSHG§76DV — Einkünfte aus Vermietung und Verpachtung</w:t>
      </w:r>
    </w:p>
    <w:p>
      <w:r>
        <w:rPr>
          <w:color w:val="555555"/>
          <w:sz w:val="18"/>
        </w:rPr>
        <w:t xml:space="preserve">Verordnung zur Durchführung des § 82 des Zwölften Buches Sozialgesetzbuch</w:t>
      </w:r>
    </w:p>
    <w:p>
      <w:r>
        <w:rPr>
          <w:color w:val="555555"/>
          <w:sz w:val="18"/>
        </w:rPr>
        <w:t xml:space="preserve">Stand: 10.06.2019 (konsolidierte Textfassung, kein amtliches Inkrafttretensdatum)</w:t>
      </w:r>
    </w:p>
    <w:p>
      <w:r>
        <w:t xml:space="preserve">(1) Welche Einkünfte zu den Einkünften aus Vermietung und Verpachtung gehören, bestimmt sich nach § 21 Abs. 1 und 3 des Einkommensteuergesetzes.</w:t>
      </w:r>
    </w:p>
    <w:p>
      <w:r>
        <w:t xml:space="preserve">(2) Als Einkünfte aus Vermietung und Verpachtung ist der Überschuß der Einnahmen über die mit ihrer Erzielung verbundenen notwendigen Ausgaben (§ 82 Abs. 2 Nr. 4 des Zwölften Buches Sozialgesetzbuch) anzusetzen; zu den Ausgaben gehören</w:t>
      </w:r>
    </w:p>
    <w:p>
      <w:pPr>
        <w:ind w:left="420"/>
      </w:pPr>
      <w:r>
        <w:t xml:space="preserve">1. Schuldzinsen und dauernde Lasten,</w:t>
      </w:r>
    </w:p>
    <w:p>
      <w:pPr>
        <w:ind w:left="420"/>
      </w:pPr>
      <w:r>
        <w:t xml:space="preserve">2. Steuern vom Grundbesitz, sonstige öffentliche Abgaben und Versicherungsbeiträge,</w:t>
      </w:r>
    </w:p>
    <w:p>
      <w:pPr>
        <w:ind w:left="420"/>
      </w:pPr>
      <w:r>
        <w:t xml:space="preserve">3. Leistungen auf die Hypothekengewinnabgabe und die Kreditgewinnabgabe, soweit es sich um Zinsen nach § 211 Abs. 1 Nr. 2 des Lastenausgleichsgesetzes handelt,</w:t>
      </w:r>
    </w:p>
    <w:p>
      <w:pPr>
        <w:ind w:left="420"/>
      </w:pPr>
      <w:r>
        <w:t xml:space="preserve">4. der Erhaltungsaufwand,</w:t>
      </w:r>
    </w:p>
    <w:p>
      <w:pPr>
        <w:ind w:left="420"/>
      </w:pPr>
      <w:r>
        <w:t xml:space="preserve">5. sonstige Aufwendungen zur Bewirtschaftung des Haus- und Grundbesitzes, ohne besonderen Nachweis Aufwendungen in Höhe von 1 vom Hundert der Jahresroheinnahmen.</w:t>
      </w:r>
    </w:p>
    <w:p>
      <w:r>
        <w:t xml:space="preserve">Zum Erhaltungsaufwand im Sinne des Satzes 1 Nr. 4 gehören die Ausgaben für Instandsetzung und Instandhaltung, nicht jedoch die Ausgaben für Verbesserungen; ohne Nachweis können bei Wohngrundstücken, die vor dem 1. Januar 1925 bezugsfähig geworden sind, 15 vom Hundert, bei Wohngrundstücken, die nach dem 31. Dezember 1924 bezugsfähig geworden sind, 10 vom Hundert der Jahresroheinnahmen als Erhaltungsaufwand berücksichtigt werden.</w:t>
      </w:r>
    </w:p>
    <w:p>
      <w:r>
        <w:t xml:space="preserve">(3) Die in Absatz 2 genannten Ausgaben sind von den Einnahmen insoweit nicht abzusetzen, als sie auf den vom Vermieter oder Verpächter selbst genutzten Teil des vermieteten oder verpachteten Gegenstandes entfallen.</w:t>
      </w:r>
    </w:p>
    <w:p>
      <w:r>
        <w:t xml:space="preserve">(4) Als Einkünfte aus der Vermietung von möblierten Wohnungen und von Zimmern sind anzusetzen</w:t>
      </w:r>
    </w:p>
    <w:p>
      <w:r>
        <w:rPr>
          <w:rFonts w:ascii="Courier New" w:hAnsi="Courier New"/>
          <w:sz w:val="17"/>
        </w:rPr>
        <w:t xml:space="preserve">bei möblierten Wohnungen    80 vom Hundert,</w:t>
      </w:r>
    </w:p>
    <w:p>
      <w:r>
        <w:rPr>
          <w:rFonts w:ascii="Courier New" w:hAnsi="Courier New"/>
          <w:sz w:val="17"/>
        </w:rPr>
        <w:t xml:space="preserve">bei möblierten Zimmern    70 vom Hundert,</w:t>
      </w:r>
    </w:p>
    <w:p>
      <w:r>
        <w:rPr>
          <w:rFonts w:ascii="Courier New" w:hAnsi="Courier New"/>
          <w:sz w:val="17"/>
        </w:rPr>
        <w:t xml:space="preserve">bei Leerzimmern    90 vom Hundert</w:t>
      </w:r>
    </w:p>
    <w:p>
      <w:r>
        <w:t xml:space="preserve">der Roheinnahmen. Dies gilt nicht, wenn geringere Einkünfte nachgewiesen werden.</w:t>
      </w:r>
    </w:p>
    <w:p>
      <w:r>
        <w:t xml:space="preserve">(5) Die Einkünfte sind als Jahreseinkünfte, bei der Vermietung von möblierten Wohnungen und von Zimmern jedoch als Monatseinkünfte zu berechnen. Sind sie als Jahreseinkünfte zu berechnen, gilt § 6 Abs. 3 entsprechend.</w:t>
      </w:r>
    </w:p>
    <w:p>
      <w:r>
        <w:rPr>
          <w:color w:val="555555"/>
          <w:sz w:val="17"/>
        </w:rPr>
        <w:t xml:space="preserve">Zitiervorschlag: § 7 BSHG§76DV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https://recht.nulegal.eu/gesetze/BSHG%C2%A776DV/7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BSHG§76DV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