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BSHG§76DV — Einkünfte aus Kapitalvermögen</w:t>
      </w:r>
    </w:p>
    <w:p>
      <w:r>
        <w:rPr>
          <w:color w:val="555555"/>
          <w:sz w:val="18"/>
        </w:rPr>
        <w:t xml:space="preserve">Verordnung zur Durchführung des § 82 des Zwölften Buches Sozialgesetzbuch</w:t>
      </w:r>
    </w:p>
    <w:p>
      <w:r>
        <w:rPr>
          <w:color w:val="555555"/>
          <w:sz w:val="18"/>
        </w:rPr>
        <w:t xml:space="preserve">Stand: 10.06.2019 (konsolidierte Textfassung, kein amtliches Inkrafttretensdatum)</w:t>
      </w:r>
    </w:p>
    <w:p>
      <w:r>
        <w:t xml:space="preserve">(1) Welche Einkünfte zu den Einkünften aus Kapitalvermögen gehören, bestimmt sich nach § 20 Abs. 1 bis 3 des Einkommensteuergesetzes.</w:t>
      </w:r>
    </w:p>
    <w:p>
      <w:r>
        <w:t xml:space="preserve">(2) Als Einkünfte aus Kapitalvermögen sind die Jahresroheinnahmen anzusetzen, vermindert um die Kapitalertragsteuer sowie um die mit der Erzielung der Einkünfte verbundenen notwendigen Ausgaben (§ 82 Abs. 2 Nr. 4 des Zwölften Buches Sozialgesetzbuch).</w:t>
      </w:r>
    </w:p>
    <w:p>
      <w:r>
        <w:t xml:space="preserve">(3) Die Einkünfte sind auf der Grundlage der vor dem Berechnungsjahr erzielten Einkünfte unter Berücksichtigung der im Berechnungsjahr bereits eingetretenen und noch zu erwartenden Veränderungen zu errechnen. Soweit im Einzelfall geboten, können hiervon abweichend die Einkünfte für das Berechnungsjahr auch nachträglich errechnet werden.</w:t>
      </w:r>
    </w:p>
    <w:p>
      <w:r>
        <w:rPr>
          <w:color w:val="555555"/>
          <w:sz w:val="17"/>
        </w:rPr>
        <w:t xml:space="preserve">Zitiervorschlag: § 6 BSHG§76DV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https://recht.nulegal.eu/gesetze/BSHG%C2%A776DV/6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BSHG§76DV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