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BSHG§76DV — Einkünfte aus Land- und Forstwirtschaft, Gewerbebetrieb und selbständiger Arbeit</w:t>
      </w:r>
    </w:p>
    <w:p>
      <w:r>
        <w:rPr>
          <w:color w:val="555555"/>
          <w:sz w:val="18"/>
        </w:rPr>
        <w:t xml:space="preserve">Verordnung zur Durchführung des § 82 des Zwölften Buches Sozialgesetzbuch</w:t>
      </w:r>
    </w:p>
    <w:p>
      <w:r>
        <w:rPr>
          <w:color w:val="555555"/>
          <w:sz w:val="18"/>
        </w:rPr>
        <w:t xml:space="preserve">Stand: 10.06.2019 (konsolidierte Textfassung, kein amtliches Inkrafttretensdatum)</w:t>
      </w:r>
    </w:p>
    <w:p>
      <w:r>
        <w:t xml:space="preserve">(1) Welche Einkünfte zu den Einkünften aus Land- und Forstwirtschaft, Gewerbebetrieb und selbständiger Arbeit gehören, bestimmt sich nach § 13 Abs. 1 und 2, § 15 Abs. 1 und § 18 Abs. 1 des Einkommensteuergesetzes; der Nutzungswert der Wohnung im eigenen Haus bleibt unberücksichtigt.</w:t>
      </w:r>
    </w:p>
    <w:p>
      <w:r>
        <w:t xml:space="preserve">(2) Die Einkünfte sind für das Jahr zu berechnen, in dem der Bedarfszeitraum liegt (Berechnungsjahr).</w:t>
      </w:r>
    </w:p>
    <w:p>
      <w:r>
        <w:t xml:space="preserve">(3) Als Einkünfte ist bei den einzelnen Einkunftsarten ein Betrag anzusetzen, der auf der Grundlage früherer Betriebsergebnisse aus der Gegenüberstellung der im Rahmen des Betriebes im Berechnungsjahr bereits erzielten Einnahmen und geleisteten notwendigen Ausgaben sowie der im Rahmen des Betriebes im Berechnungsjahr noch zu erwartenden Einnahmen und notwendigen Ausgaben zu errechnen ist. Bei der Ermittlung früherer Betriebsergebnisse (Satz 1) kann ein durch das Finanzamt festgestellter Gewinn berücksichtigt werden.</w:t>
      </w:r>
    </w:p>
    <w:p>
      <w:r>
        <w:t xml:space="preserve">(4) Soweit im Einzelfall geboten, kann abweichend von der Regelung des Absatzes 3 als Einkünfte ein Betrag angesetzt werden, der nach Ablauf des Berechnungsjahres aus der Gegenüberstellung der im Rahmen des Betriebes im Berechnungsjahr erzielten Einnahmen und geleisteten notwendigen Ausgaben zu errechnen ist. Als Einkünfte im Sinne des Satzes 1 kann auch der vom Finanzamt für das Berechnungsjahr festgestellte Gewinn angesetzt werden.</w:t>
      </w:r>
    </w:p>
    <w:p>
      <w:r>
        <w:t xml:space="preserve">(5) Wird der vom Finanzamt festgestellte Gewinn nach Absatz 3 Satz 2 berücksichtigt oder nach Absatz 4 Satz 2 als Einkünfte angesetzt, so sind Absetzungen, die bei Gebäuden und sonstigen Wirtschaftsgütern durch das Finanzamt nach</w:t>
      </w:r>
    </w:p>
    <w:p>
      <w:pPr>
        <w:ind w:left="420"/>
      </w:pPr>
      <w:r>
        <w:t xml:space="preserve">1. den §§ 7, 7b und 7e des Einkommensteuergesetzes,</w:t>
      </w:r>
    </w:p>
    <w:p>
      <w:pPr>
        <w:ind w:left="420"/>
      </w:pPr>
      <w:r>
        <w:t xml:space="preserve">2. den Vorschriften des Berlinförderungsgesetzes,</w:t>
      </w:r>
    </w:p>
    <w:p>
      <w:pPr>
        <w:ind w:left="420"/>
      </w:pPr>
      <w:r>
        <w:t xml:space="preserve">3. den §§ 76, 77 und 78 Abs. 1 der Einkommensteuer-Durchführungsverordnung,</w:t>
      </w:r>
    </w:p>
    <w:p>
      <w:pPr>
        <w:ind w:left="420"/>
      </w:pPr>
      <w:r>
        <w:t xml:space="preserve">4. der Verordnung über Steuervergünstigungen zur Förderung des Baues von Landarbeiterwohnungen in der Fassung der Bekanntmachung vom 6. August 1974 (Bundesgesetzbl. I S. 1869)</w:t>
      </w:r>
    </w:p>
    <w:p>
      <w:r>
        <w:t xml:space="preserve">vorgenommen worden sind, dem durch das Finanzamt festgestellten Gewinn wieder hinzuzurechnen. Soweit jedoch in diesen Fällen notwendige Ausgaben für die Anschaffung oder Herstellung der in Satz 1 genannten Wirtschaftsgüter im Feststellungszeitraum geleistet worden sind, sind sie vom Gewinn abzusetzen.</w:t>
      </w:r>
    </w:p>
    <w:p>
      <w:r>
        <w:rPr>
          <w:color w:val="555555"/>
          <w:sz w:val="17"/>
        </w:rPr>
        <w:t xml:space="preserve">Zitiervorschlag: § 4 BSHG§76DV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https://recht.nulegal.eu/gesetze/BSHG%C2%A776DV/4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BSHG§76DV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