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BSHG§76DV — Bewertung von Sachbezügen</w:t>
      </w:r>
    </w:p>
    <w:p>
      <w:r>
        <w:rPr>
          <w:color w:val="555555"/>
          <w:sz w:val="18"/>
        </w:rPr>
        <w:t xml:space="preserve">Verordnung zur Durchführung des § 82 des Zwölften Buches Sozialgesetzbuch</w:t>
      </w:r>
    </w:p>
    <w:p>
      <w:r>
        <w:rPr>
          <w:color w:val="555555"/>
          <w:sz w:val="18"/>
        </w:rPr>
        <w:t xml:space="preserve">Stand: 10.06.2019 (konsolidierte Textfassung, kein amtliches Inkrafttretensdatum)</w:t>
      </w:r>
    </w:p>
    <w:p>
      <w:r>
        <w:t xml:space="preserve">(1) Für die Bewertung von Einnahmen, die nicht in Geld bestehen (Kost, Wohnung und sonstige Sachbezüge), sind die auf Grund des § 17 Abs. 2 des Vierten Buches Sozialgesetzbuch für die Sozialversicherung zuletzt festgesetzten Werte der Sachbezüge maßgebend; soweit der Wert der Sachbezüge nicht festgesetzt ist, sind der Bewertung die üblichen Mittelpreise des Verbrauchsortes zu Grunde zu legen. Die Verpflichtung, den notwendigen Lebensunterhalt im Einzelfall nach dem Dritten Kapitel des Zwölften Buches Sozialgesetzbuch sicherzustellen, bleibt unberührt.</w:t>
      </w:r>
    </w:p>
    <w:p>
      <w:r>
        <w:t xml:space="preserve">(2) Absatz 1 gilt auch dann, wenn in einem Tarifvertrag, einer Tarifordnung, einer Betriebs- oder Dienstordnung, einer Betriebsvereinbarung, einem Arbeitsvertrag oder einem sonstigen Vertrag andere Werte festgesetzt worden sind.</w:t>
      </w:r>
    </w:p>
    <w:p>
      <w:r>
        <w:rPr>
          <w:color w:val="555555"/>
          <w:sz w:val="17"/>
        </w:rPr>
        <w:t xml:space="preserve">Zitiervorschlag: § 2 BSHG§76DV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https://recht.nulegal.eu/gesetze/BSHG%C2%A776DV/2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