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BSHG§47V — Seelisch wesentlich behinderte Menschen</w:t>
      </w:r>
    </w:p>
    <w:p>
      <w:r>
        <w:rPr>
          <w:color w:val="555555"/>
          <w:sz w:val="18"/>
        </w:rPr>
        <w:t xml:space="preserve">Eingliederungshilfe-Verordnung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Seelische Störungen, die eine wesentliche Einschränkung der Teilhabefähigkeit im Sinne des § 53 Abs. 1 Satz 1 des Zwölften Buches Sozialgesetzbuch zur Folge haben können, sind</w:t>
      </w:r>
    </w:p>
    <w:p>
      <w:pPr>
        <w:ind w:left="420"/>
      </w:pPr>
      <w:r>
        <w:t xml:space="preserve">1. körperlich nicht begründbare Psychosen,</w:t>
      </w:r>
    </w:p>
    <w:p>
      <w:pPr>
        <w:ind w:left="420"/>
      </w:pPr>
      <w:r>
        <w:t xml:space="preserve">2. seelische Störungen als Folge von Krankheiten oder Verletzungen des Gehirns, von Anfallsleiden oder von anderen Krankheiten oder körperlichen Beeinträchtigungen,</w:t>
      </w:r>
    </w:p>
    <w:p>
      <w:pPr>
        <w:ind w:left="420"/>
      </w:pPr>
      <w:r>
        <w:t xml:space="preserve">3. Suchtkrankheiten,</w:t>
      </w:r>
    </w:p>
    <w:p>
      <w:pPr>
        <w:ind w:left="420"/>
      </w:pPr>
      <w:r>
        <w:t xml:space="preserve">4. Neurosen und Persönlichkeitsstörungen.</w:t>
      </w:r>
    </w:p>
    <w:p>
      <w:r>
        <w:rPr>
          <w:color w:val="555555"/>
          <w:sz w:val="17"/>
        </w:rPr>
        <w:t xml:space="preserve">Zitiervorschlag: § 3 BSHG§47V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https://recht.nulegal.eu/gesetze/BSHG%C2%A747V/3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