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BSHG§47V — Kosten der Begleitpersonen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Erfordern die Maßnahmen der Eingliederungshilfe die Begleitung des behinderten Menschen, so gehören zu seinem Bedarf auch</w:t>
      </w:r>
    </w:p>
    <w:p>
      <w:pPr>
        <w:ind w:left="420"/>
      </w:pPr>
      <w:r>
        <w:t xml:space="preserve">1. die notwendigen Fahrtkosten und die sonstigen mit der Fahrt verbundenen notwendigen Auslagen der Begleitperson,</w:t>
      </w:r>
    </w:p>
    <w:p>
      <w:pPr>
        <w:ind w:left="420"/>
      </w:pPr>
      <w:r>
        <w:t xml:space="preserve">2. weitere Kosten der Begleitperson, soweit sie nach den Besonderheiten des Einzelfalles notwendig sind.</w:t>
      </w:r>
    </w:p>
    <w:p>
      <w:r>
        <w:rPr>
          <w:color w:val="555555"/>
          <w:sz w:val="17"/>
        </w:rPr>
        <w:t xml:space="preserve">Zitiervorschlag: § 22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