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BSHG§47V</w:t>
      </w:r>
    </w:p>
    <w:p>
      <w:r>
        <w:rPr>
          <w:color w:val="555555"/>
          <w:sz w:val="18"/>
        </w:rPr>
        <w:t xml:space="preserve">Eingliederungshilfe-Verordnung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21 BSHG§47V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https://recht.nulegal.eu/gesetze/BSHG%C2%A747V/21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