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BSHG§47V — Eingliederung in das Arbeitsleben</w:t>
      </w:r>
    </w:p>
    <w:p>
      <w:r>
        <w:rPr>
          <w:color w:val="555555"/>
          <w:sz w:val="18"/>
        </w:rPr>
        <w:t xml:space="preserve">Eingliederungshilfe-Verordnung</w:t>
      </w:r>
    </w:p>
    <w:p>
      <w:r>
        <w:rPr>
          <w:color w:val="555555"/>
          <w:sz w:val="18"/>
        </w:rPr>
        <w:t xml:space="preserve">Historische Fassung: Stand 10.06.2019 bis 02.01.2020. Dies ist nicht die aktuelle Fassung.</w:t>
      </w:r>
    </w:p>
    <w:p>
      <w:r>
        <w:t xml:space="preserve">(1) Zu der Hilfe im Sinne des § 54 Abs. 1 Satz 1 des Zwölften Buches Sozialgesetzbuch in Verbindung mit den §§ 49 und 58 des Neunten Buches Sozialgesetzbuch sowie der Hilfe im Sinne des § 54 Abs. 1 Satz 1 Nr. 5 des Zwölften Buches Sozialgesetzbuch gehören auch die Hilfe zur Beschaffung von Gegenständen sowie andere Leistungen, wenn sie wegen der Behinderung zur Aufnahme oder Fortsetzung einer angemessenen Beschäftigung im Arbeitsleben erforderlich sind; für die Hilfe zur Beschaffung eines Kraftfahrzeuges ist § 8, für die Hilfe zur Beschaffung von Gegenständen, die zugleich Gegenstände im Sinne des § 9 Abs. 2 Nr. 12 sind, ist § 9 maßgebend. Die Hilfe nach Satz 1 kann auch als Darlehen gewährt werden.</w:t>
      </w:r>
    </w:p>
    <w:p>
      <w:r>
        <w:t xml:space="preserve">(2) Hilfe in einer sonstigen Beschäftigungsstätte nach § 56 des Zwölften Buches Sozialgesetzbuch können behinderte Menschen erhalten, die mindestens die Voraussetzungen zur Aufnahme in einer Werkstatt für behinderte Menschen (§ 137 des Neunten Buches Sozialgesetzbuch) erfüllen.</w:t>
      </w:r>
    </w:p>
    <w:p>
      <w:r>
        <w:rPr>
          <w:color w:val="555555"/>
          <w:sz w:val="17"/>
        </w:rPr>
        <w:t xml:space="preserve">Zitiervorschlag: § 17 BSHG§47V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https://recht.nulegal.eu/gesetze/BSHG%C2%A747V/17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BSHG§47V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