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BSHG§47V</w:t>
      </w:r>
    </w:p>
    <w:p>
      <w:r>
        <w:rPr>
          <w:color w:val="555555"/>
          <w:sz w:val="18"/>
        </w:rPr>
        <w:t xml:space="preserve">Eingliederungshilfe-Verordnung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11 BSHG§47V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https://recht.nulegal.eu/gesetze/BSHG%C2%A747V/11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