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BSHG§47V — Umfang der Versorgung mit Körperersatzstücken, orthopädischen oder anderen Hilfsmitteln</w:t>
      </w:r>
    </w:p>
    <w:p>
      <w:r>
        <w:rPr>
          <w:color w:val="555555"/>
          <w:sz w:val="18"/>
        </w:rPr>
        <w:t xml:space="preserve">Eingliederungshilfe-Verordnung</w:t>
      </w:r>
    </w:p>
    <w:p>
      <w:r>
        <w:rPr>
          <w:color w:val="555555"/>
          <w:sz w:val="18"/>
        </w:rPr>
        <w:t xml:space="preserve">Historische Fassung: Stand 10.06.2019 bis 02.01.2020. Dies ist nicht die aktuelle Fassung.</w:t>
      </w:r>
    </w:p>
    <w:p>
      <w:r>
        <w:t xml:space="preserve">(1) Zu der Versorgung mit Körperersatzstücken sowie mit orthopädischen oder anderen Hilfsmitteln im Sinne des § 54 Abs. 1 Satz 1 des Zwölften Buches Sozialgesetzbuch in Verbindung mit den §§ 42, 49 und 76 des Neunten Buches Sozialgesetzbuch gehört auch eine notwendige Unterweisung in ihrem Gebrauch.</w:t>
      </w:r>
    </w:p>
    <w:p>
      <w:r>
        <w:t xml:space="preserve">(2) Soweit im Einzelfall erforderlich, wird eine Doppelausstattung mit Körperersatzstücken, orthopädischen oder anderen Hilfsmitteln gewährt.</w:t>
      </w:r>
    </w:p>
    <w:p>
      <w:r>
        <w:t xml:space="preserve">(3) Zu der Versorgung mit Körperersatzstücken sowie mit orthopädischen oder anderen Hilfsmitteln gehört auch deren notwendige Instandhaltung oder Änderung. Die Versorgung mit einem anderen Hilfsmittel umfaßt auch ein Futtergeld für einen Blindenführhund in Höhe des Betrages, den blinde Beschädigte nach dem Bundesversorgungsgesetz zum Unterhalt eines Führhundes erhalten, sowie die Kosten für die notwendige tierärztliche Behandlung des Führhundes und für eine angemessene Haftpflichtversicherung, soweit die Beiträge hierfür nicht nach § 82 Abs. 2 Nr. 3 des Zwölften Buches Sozialgesetzbuch vom Einkommen abzusetzen sind.</w:t>
      </w:r>
    </w:p>
    <w:p>
      <w:r>
        <w:t xml:space="preserve">(4) Eine erneute Versorgung wird gewährt, wenn sie infolge der körperlichen Entwicklung des Behinderten notwendig oder wenn aus anderen Gründen das Körperersatzstück oder Hilfsmittel ungeeignet oder unbrauchbar geworden ist.</w:t>
      </w:r>
    </w:p>
    <w:p>
      <w:r>
        <w:t xml:space="preserve">(5) (weggefallen)</w:t>
      </w:r>
    </w:p>
    <w:p>
      <w:r>
        <w:t xml:space="preserve">(6) Als Versorgung kann Hilfe in angemessenem Umfange auch zur Erlangung der Fahrerlaubnis, zur Instandhaltung sowie durch Übernahme von Betriebskosten eines Kraftfahrzeuges gewährt werden, wenn der behinderte Mensch wegen seiner Behinderung auf die regelmäßige Benutzung eines Kraftfahrzeuges angewiesen ist oder angewiesen sein wird.</w:t>
      </w:r>
    </w:p>
    <w:p>
      <w:r>
        <w:rPr>
          <w:color w:val="555555"/>
          <w:sz w:val="17"/>
        </w:rPr>
        <w:t xml:space="preserve">Zitiervorschlag: § 10 BSHG§47V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https://recht.nulegal.eu/gesetze/BSHG%C2%A747V/10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