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BSGWidVertrAnO — Vertretung bei Klagen aus dem Beamten- oder Richterverhältnis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bei Klagen von Beschäftigten des Bundessozialgerichts aus dem Beamten- oder Richterverhältnis</w:t>
      </w:r>
    </w:p>
    <w:p>
      <w:r>
        <w:rPr>
          <w:color w:val="555555"/>
          <w:sz w:val="18"/>
        </w:rPr>
        <w:t xml:space="preserve">Historische Fassung: Stand 10.06.2019 bis 12.07.2022. Dies ist nicht die aktuelle Fassung.</w:t>
      </w:r>
    </w:p>
    <w:p>
      <w:r>
        <w:t xml:space="preserve">Die Vertretung der Bundesrepublik Deutschland bei Klagen von Beschäftigten des Bundessozialgerichts aus dem Beamten- oder dem Richterverhältnis wird dem Bundesverwaltungsamt übertragen, soweit dieses nach § 1 zur Entscheidung über den Widerspruch befugt ist. Das Bundesministerium für Arbeit und Soziales behält sich vor, im Einzelfall die Prozessvertretung selbst wahrzunehmen.</w:t>
      </w:r>
    </w:p>
    <w:p>
      <w:r>
        <w:rPr>
          <w:color w:val="555555"/>
          <w:sz w:val="17"/>
        </w:rPr>
        <w:t xml:space="preserve">Zitiervorschlag: § 2 BSGWidVertrAnO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https://recht.nulegal.eu/gesetze/BSGWidVertrAnO/2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