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BSAVfV — Prüfungsberichte</w:t>
      </w:r>
    </w:p>
    <w:p>
      <w:r>
        <w:rPr>
          <w:color w:val="555555"/>
          <w:sz w:val="18"/>
        </w:rPr>
        <w:t xml:space="preserve">Verordnung über Verfahren vor dem Bundessortenamt</w:t>
      </w:r>
    </w:p>
    <w:p>
      <w:r>
        <w:rPr>
          <w:color w:val="555555"/>
          <w:sz w:val="18"/>
        </w:rPr>
        <w:t xml:space="preserve">Stand: 10.06.2019 (konsolidierte Textfassung, kein amtliches Inkrafttretensdatum)</w:t>
      </w:r>
    </w:p>
    <w:p>
      <w:r>
        <w:t xml:space="preserve">Das Bundessortenamt übersendet dem Antragsteller jeweils einen Prüfungsbericht, sobald es das Ergebnis der Registerprüfung, der Wertprüfung oder bei Sorten von Rebe der Prüfung der physiologischen Merkmale zur Beurteilung der Sorte für ausreichend hält.</w:t>
      </w:r>
    </w:p>
    <w:p>
      <w:r>
        <w:rPr>
          <w:color w:val="555555"/>
          <w:sz w:val="17"/>
        </w:rPr>
        <w:t xml:space="preserve">Zitiervorschlag: § 7 BSAVfV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https://recht.nulegal.eu/gesetze/BSAVfV/7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