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BSAVfV — Prüfung der physiologischen Merkmale bei Rebe</w:t>
      </w:r>
    </w:p>
    <w:p>
      <w:r>
        <w:rPr>
          <w:color w:val="555555"/>
          <w:sz w:val="18"/>
        </w:rPr>
        <w:t xml:space="preserve">Verordnung über Verfahren vor dem Bundessortenamt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Verfahren der Sortenzulassung gilt für die Prüfung der physiologischen Merkmale bei Sorten von Rebe § 3 Abs. 1 bis 3 und 5 entsprechend. Die Prüfung dauert mindestens fünf Ertragsjahre.</w:t>
      </w:r>
    </w:p>
    <w:p>
      <w:r>
        <w:t xml:space="preserve">(2) Bei der Prüfung kann das Bundessortenamt auch Feststellungen auf Grund vergleichender Sortenprüfungen heranziehen, wenn diese amtlich oder unter amtlicher Überwachung angelegt und ausgewertet worden sind.</w:t>
      </w:r>
    </w:p>
    <w:p>
      <w:r>
        <w:rPr>
          <w:color w:val="555555"/>
          <w:sz w:val="17"/>
        </w:rPr>
        <w:t xml:space="preserve">Zitiervorschlag: § 4 BSAVfV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https://recht.nulegal.eu/gesetze/BSAVfV/4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