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BSAVfV — Registerprüfung</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(1) Das Bundessortenamt beginnt die Prüfung der Sorte auf Unterscheidbarkeit, Homogenität und Beständigkeit (Registerprüfung) in der auf den Antragstag folgenden Vegetationsperiode, wenn der Antrag bis zu dem für die jeweilige Art bekanntgemachten Termin vollständig eingegangen ist. Im Falle des § 26 Abs. 4 des Sortenschutzgesetzes beginnt das Bundessortenamt die Registerprüfung in der Vegetationsperiode, die dem Einsendetermin folgt, bis zu dem das Vermehrungsmaterial vorgelegt worden ist. Grundlage der Registerprüfung ist das vom Antragsteller für die Prüfung erstmals vorgelegte Vermehrungsmaterial oder Saatgut.</w:t>
      </w:r>
    </w:p>
    <w:p>
      <w:r>
        <w:t xml:space="preserve">(2) Bei Sorten, deren Pflanzen durch Kreuzung bestimmter Erbkomponenten erzeugt werden, kann das Bundessortenamt die Registerprüfung von Amts wegen auf alle Erbkomponenten erstrecken.</w:t>
      </w:r>
    </w:p>
    <w:p>
      <w:r>
        <w:t xml:space="preserve">(3) Bei Rebe und Baumarten kann das Bundessortenamt auf Antrag die Registerprüfung später beginnen, und zwar bei</w:t>
      </w:r>
    </w:p>
    <w:p>
      <w:pPr>
        <w:ind w:left="420"/>
      </w:pPr>
      <w:r>
        <w:t xml:space="preserve">1. Sorten von Baumarten, soweit das Vermehrungsgut hinsichtlich des Inverkehrbringens dem Forstvermehrungsgutgesetz unterliegt, bis zur Zulassung als Ausgangsmaterial nach § 4 des Forstvermehrungsgutgesetzes vom 22. Mai 2002 (BGBl. I S. 1658) in der jeweils geltenden Fassung;</w:t>
      </w:r>
    </w:p>
    <w:p>
      <w:pPr>
        <w:ind w:left="420"/>
      </w:pPr>
      <w:r>
        <w:t xml:space="preserve">2. Sorten von Obstarten einschließlich Unterlagssorten sowie von Gehölzen für den Straßen- und Landschaftsbau bis längstens 15 Jahre nach der Antragstellung;</w:t>
      </w:r>
    </w:p>
    <w:p>
      <w:pPr>
        <w:ind w:left="420"/>
      </w:pPr>
      <w:r>
        <w:t xml:space="preserve">3. Ziersorten bis längstens 8 Jahre nach der Antragstellung.</w:t>
      </w:r>
    </w:p>
    <w:p>
      <w:r>
        <w:t xml:space="preserve">(4) Die Registerprüfung dauert bis zum Ende der für das Feststellen ausreichender Prüfungsergebnisse für die Erstellung des Prüfungsberichtes nach § 7 erforderlichen Zeit (Regelprüfzeit), soweit ausreichende Prüfungsergebnisse für die Erstellung eines Prüfungsberichtes gemäß § 7 vorliegen. Das Bundessortenamt macht die Regelprüfzeit für die einzelnen Arten bekannt.</w:t>
      </w:r>
    </w:p>
    <w:p>
      <w:r>
        <w:t xml:space="preserve">(5) Bei der Registerprüfung kann das Bundessortenamt auch Ergebnisse der Wertprüfung heranziehen.</w:t>
      </w:r>
    </w:p>
    <w:p>
      <w:r>
        <w:rPr>
          <w:color w:val="555555"/>
          <w:sz w:val="17"/>
        </w:rPr>
        <w:t xml:space="preserve">Zitiervorschlag: § 2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